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pPr>
      <w:r>
        <w:rPr>
          <w:rFonts w:ascii="Times New Roman;serif" w:hAnsi="Times New Roman;serif"/>
          <w:b/>
          <w:color w:val="000000"/>
          <w:sz w:val="36"/>
        </w:rPr>
        <w:t>FORM 8-K</w:t>
      </w:r>
      <w:r>
        <w:rPr>
          <w:color w:val="000000"/>
        </w:rPr>
        <w:t xml:space="preserve"> </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September 9, 2026</w:t>
      </w:r>
    </w:p>
    <w:p>
      <w:pPr>
        <w:pStyle w:val="TextBody"/>
        <w:bidi w:val="0"/>
        <w:spacing w:before="120" w:after="283"/>
        <w:jc w:val="center"/>
        <w:rPr/>
      </w:pPr>
      <w:r>
        <w:rPr/>
        <w:drawing>
          <wp:inline distT="0" distB="0" distL="0" distR="0">
            <wp:extent cx="3771900" cy="1343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771900" cy="1343025"/>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NEWS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 </w:t>
      </w:r>
    </w:p>
    <w:tbl>
      <w:tblPr>
        <w:tblW w:w="5961" w:type="dxa"/>
        <w:jc w:val="left"/>
        <w:tblInd w:w="0" w:type="dxa"/>
        <w:tblLayout w:type="fixed"/>
        <w:tblCellMar>
          <w:top w:w="28" w:type="dxa"/>
          <w:left w:w="28" w:type="dxa"/>
          <w:bottom w:w="28" w:type="dxa"/>
          <w:right w:w="28" w:type="dxa"/>
        </w:tblCellMar>
      </w:tblPr>
      <w:tblGrid>
        <w:gridCol w:w="851"/>
        <w:gridCol w:w="748"/>
        <w:gridCol w:w="755"/>
        <w:gridCol w:w="109"/>
        <w:gridCol w:w="109"/>
        <w:gridCol w:w="109"/>
        <w:gridCol w:w="423"/>
        <w:gridCol w:w="423"/>
        <w:gridCol w:w="428"/>
        <w:gridCol w:w="109"/>
        <w:gridCol w:w="109"/>
        <w:gridCol w:w="109"/>
        <w:gridCol w:w="490"/>
        <w:gridCol w:w="490"/>
        <w:gridCol w:w="699"/>
      </w:tblGrid>
      <w:tr>
        <w:trPr/>
        <w:tc>
          <w:tcPr>
            <w:tcW w:w="85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001-35769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46-2950970</w:t>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(Commission</w:t>
              <w:br/>
              <w:t>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(IRS Employer</w:t>
              <w:br/>
              <w:t>Identification No.)</w:t>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1211 Avenue of the Americas, New York, New York 10036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 including zip code)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(212) 416-3400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133" w:type="dxa"/>
        <w:jc w:val="left"/>
        <w:tblInd w:w="0" w:type="dxa"/>
        <w:tblLayout w:type="fixed"/>
        <w:tblCellMar>
          <w:top w:w="28" w:type="dxa"/>
          <w:left w:w="28" w:type="dxa"/>
          <w:bottom w:w="28" w:type="dxa"/>
          <w:right w:w="28" w:type="dxa"/>
        </w:tblCellMar>
      </w:tblPr>
      <w:tblGrid>
        <w:gridCol w:w="1505"/>
        <w:gridCol w:w="1317"/>
        <w:gridCol w:w="1333"/>
        <w:gridCol w:w="109"/>
        <w:gridCol w:w="109"/>
        <w:gridCol w:w="109"/>
        <w:gridCol w:w="539"/>
        <w:gridCol w:w="539"/>
        <w:gridCol w:w="541"/>
        <w:gridCol w:w="109"/>
        <w:gridCol w:w="109"/>
        <w:gridCol w:w="109"/>
        <w:gridCol w:w="1085"/>
        <w:gridCol w:w="1085"/>
        <w:gridCol w:w="1535"/>
      </w:tblGrid>
      <w:tr>
        <w:trPr/>
        <w:tc>
          <w:tcPr>
            <w:tcW w:w="1505"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415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NWSA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B 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60" w:after="283"/>
        <w:jc w:val="left"/>
        <w:rPr>
          <w:color w:val="000000"/>
        </w:rPr>
      </w:pPr>
      <w:r>
        <w:rPr>
          <w:color w:val="000000"/>
        </w:rPr>
        <w:t> </w:t>
      </w:r>
      <w:r>
        <w:rPr>
          <w:rFonts w:ascii="Times New Roman;serif" w:hAnsi="Times New Roman;serif"/>
          <w:b w:val="false"/>
          <w:color w:val="000000"/>
          <w:sz w:val="20"/>
        </w:rPr>
        <w:t>Emerging growth company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Item 8.01    Other Events.</w:t>
      </w:r>
      <w:r>
        <w:rPr>
          <w:color w:val="000000"/>
        </w:rPr>
        <w:t> </w:t>
      </w:r>
    </w:p>
    <w:p>
      <w:pPr>
        <w:pStyle w:val="TextBody"/>
        <w:bidi w:val="0"/>
        <w:spacing w:lineRule="auto" w:line="288" w:before="240" w:after="240"/>
        <w:jc w:val="left"/>
        <w:rPr>
          <w:rFonts w:ascii="Times New Roman;serif" w:hAnsi="Times New Roman;serif"/>
          <w:b w:val="false"/>
          <w:color w:val="000000"/>
          <w:sz w:val="20"/>
        </w:rPr>
      </w:pPr>
      <w:r>
        <w:rPr>
          <w:rFonts w:ascii="Times New Roman;serif" w:hAnsi="Times New Roman;serif"/>
          <w:b w:val="false"/>
          <w:color w:val="000000"/>
          <w:sz w:val="20"/>
        </w:rPr>
        <w:t>As previously reported, under News Corporation's (the "Company's") stock repurchase program (the "Repurchase Program"), the Company is authorized to acquire from time to time up to $1 billion in the aggregate of the Company's outstanding shares of Class A common stock and Class B common stock. Under the rules of the Australian Securities Exchange (the "ASX"), the Company is required to provide to the ASX, on a daily basis, disclosure of transactions pursuant to the Repurchase Program, if any. The Company also discloses information concerning the Repurchase Program in the Company's quarterly and annual reports.</w:t>
      </w:r>
    </w:p>
    <w:p>
      <w:pPr>
        <w:pStyle w:val="TextBody"/>
        <w:bidi w:val="0"/>
        <w:spacing w:lineRule="auto" w:line="268" w:before="0" w:after="0"/>
        <w:jc w:val="left"/>
        <w:rPr/>
      </w:pPr>
      <w:r>
        <w:rPr>
          <w:rFonts w:ascii="Times New Roman;serif" w:hAnsi="Times New Roman;serif"/>
          <w:b w:val="false"/>
          <w:color w:val="231F20"/>
          <w:sz w:val="20"/>
        </w:rPr>
        <w:t xml:space="preserve">Attached as Exhibit 99.1 and Exhibit 99.2 are copies of the information provided to the ASX on the respective dates noted therein. Such information contains </w:t>
      </w:r>
      <w:r>
        <w:rPr>
          <w:rFonts w:ascii="Times New Roman;serif" w:hAnsi="Times New Roman;serif"/>
          <w:b w:val="false"/>
          <w:color w:val="000000"/>
          <w:sz w:val="20"/>
        </w:rPr>
        <w:t>"</w:t>
      </w:r>
      <w:r>
        <w:rPr>
          <w:rFonts w:ascii="Times New Roman;serif" w:hAnsi="Times New Roman;serif"/>
          <w:b w:val="false"/>
          <w:color w:val="231F20"/>
          <w:sz w:val="20"/>
        </w:rPr>
        <w:t>forward-looking statements</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 xml:space="preserve">within the meaning of the Private Securities Litigation Reform Act of 1995. These forward-looking statements include, but are not limited to, statements regarding the Company's intent to repurchase, from time to time, the Company's Class A common stock and Class B common stock. These statements are based on management's current expectations and beliefs and are subject to uncertainty and changes in circumstances. Actual results may vary materially from those expressed or implied by such statements due to, among other factors, changes in the market price of the Company's stock, general market conditions, applicable securities laws and alternative investment opportunities, as well as the risks, uncertainties and other factors described in the Company's filings with the Securities and Exchange Commission. The </w:t>
      </w:r>
      <w:r>
        <w:rPr>
          <w:rFonts w:ascii="Times New Roman;serif" w:hAnsi="Times New Roman;serif"/>
          <w:b w:val="false"/>
          <w:color w:val="000000"/>
          <w:sz w:val="20"/>
        </w:rPr>
        <w:t>"</w:t>
      </w:r>
      <w:r>
        <w:rPr>
          <w:rFonts w:ascii="Times New Roman;serif" w:hAnsi="Times New Roman;serif"/>
          <w:b w:val="false"/>
          <w:color w:val="231F20"/>
          <w:sz w:val="20"/>
        </w:rPr>
        <w:t>forward-looking statements</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 xml:space="preserve">included in such information are made only as of the date of this report. We do not have and do not undertake any obligation to publicly update any </w:t>
      </w:r>
      <w:r>
        <w:rPr>
          <w:rFonts w:ascii="Times New Roman;serif" w:hAnsi="Times New Roman;serif"/>
          <w:b w:val="false"/>
          <w:color w:val="000000"/>
          <w:sz w:val="20"/>
        </w:rPr>
        <w:t>"</w:t>
      </w:r>
      <w:r>
        <w:rPr>
          <w:rFonts w:ascii="Times New Roman;serif" w:hAnsi="Times New Roman;serif"/>
          <w:b w:val="false"/>
          <w:color w:val="231F20"/>
          <w:sz w:val="20"/>
        </w:rPr>
        <w:t>forward-looking statements</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to reflect subsequent events or circumstances, and we expressly disclaim any such obligation, except as required by law or regulation.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 Exhibits.</w:t>
      </w:r>
    </w:p>
    <w:p>
      <w:pPr>
        <w:pStyle w:val="TextBody"/>
        <w:bidi w:val="0"/>
        <w:spacing w:before="0" w:after="0"/>
        <w:jc w:val="left"/>
        <w:rPr/>
      </w:pPr>
      <w:r>
        <w:rPr/>
      </w:r>
    </w:p>
    <w:tbl>
      <w:tblPr>
        <w:tblW w:w="9207"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2279"/>
        <w:gridCol w:w="2279"/>
        <w:gridCol w:w="3242"/>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3242"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ppendix3cclassa20260909.htm">
              <w:r>
                <w:rPr>
                  <w:rStyle w:val="InternetLink"/>
                  <w:rFonts w:ascii="Times New Roman;serif" w:hAnsi="Times New Roman;serif"/>
                  <w:b w:val="false"/>
                  <w:color w:val="0000FF"/>
                  <w:sz w:val="20"/>
                  <w:u w:val="single"/>
                </w:rPr>
                <w:t>Information provided to the Australian Securities Exchange on the date noted on Exhibit 99.1.</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ppendix3cclassb20260909.htm">
              <w:r>
                <w:rPr>
                  <w:rStyle w:val="InternetLink"/>
                  <w:rFonts w:ascii="Times New Roman;serif" w:hAnsi="Times New Roman;serif"/>
                  <w:b w:val="false"/>
                  <w:color w:val="0000FF"/>
                  <w:sz w:val="20"/>
                  <w:u w:val="single"/>
                </w:rPr>
                <w:t>Information provided to the Australian Securities Exchange on the date noted on Exhibit 99.2.</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7722" w:type="dxa"/>
        <w:jc w:val="left"/>
        <w:tblInd w:w="0" w:type="dxa"/>
        <w:tblLayout w:type="fixed"/>
        <w:tblCellMar>
          <w:top w:w="28" w:type="dxa"/>
          <w:left w:w="28" w:type="dxa"/>
          <w:bottom w:w="28" w:type="dxa"/>
          <w:right w:w="28" w:type="dxa"/>
        </w:tblCellMar>
      </w:tblPr>
      <w:tblGrid>
        <w:gridCol w:w="124"/>
        <w:gridCol w:w="109"/>
        <w:gridCol w:w="109"/>
        <w:gridCol w:w="235"/>
        <w:gridCol w:w="235"/>
        <w:gridCol w:w="235"/>
        <w:gridCol w:w="235"/>
        <w:gridCol w:w="235"/>
        <w:gridCol w:w="235"/>
        <w:gridCol w:w="1732"/>
        <w:gridCol w:w="1732"/>
        <w:gridCol w:w="250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NEWS CORPORATION</w:t>
              <w:br/>
              <w:t>(REGISTRANT)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L. Bunder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L. Bunder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Deputy General Counsel and Corporate Secretary</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Dated: September 10, 2026</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1139" w:type="dxa"/>
        <w:jc w:val="left"/>
        <w:tblInd w:w="0" w:type="dxa"/>
        <w:tblLayout w:type="fixed"/>
        <w:tblCellMar>
          <w:top w:w="28" w:type="dxa"/>
          <w:left w:w="28" w:type="dxa"/>
          <w:bottom w:w="28" w:type="dxa"/>
          <w:right w:w="28" w:type="dxa"/>
        </w:tblCellMar>
      </w:tblPr>
      <w:tblGrid>
        <w:gridCol w:w="364"/>
        <w:gridCol w:w="320"/>
        <w:gridCol w:w="455"/>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+Rule 3.8A</w:t>
            </w:r>
          </w:p>
        </w:tc>
      </w:tr>
    </w:tbl>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Appendix 3C</w:t>
      </w:r>
    </w:p>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Notification of buy-back</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Information or documents not available now must be given to ASX as soon as available. Information and documents given to ASX become ASX’s property and may be made public.</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*Denotes minimum information required for first lodgement of this form, with exceptions provided in specific notes for certain questions. The balance of the information, where applicable, must be provided as soon as reasonably practicable by the entity.</w:t>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1 – Entity and announcement details</w:t>
      </w:r>
    </w:p>
    <w:tbl>
      <w:tblPr>
        <w:tblW w:w="10205" w:type="dxa"/>
        <w:jc w:val="left"/>
        <w:tblInd w:w="0" w:type="dxa"/>
        <w:tblLayout w:type="fixed"/>
        <w:tblCellMar>
          <w:top w:w="28" w:type="dxa"/>
          <w:left w:w="28" w:type="dxa"/>
          <w:bottom w:w="28" w:type="dxa"/>
          <w:right w:w="28" w:type="dxa"/>
        </w:tblCellMar>
      </w:tblPr>
      <w:tblGrid>
        <w:gridCol w:w="356"/>
        <w:gridCol w:w="313"/>
        <w:gridCol w:w="314"/>
        <w:gridCol w:w="2333"/>
        <w:gridCol w:w="2067"/>
        <w:gridCol w:w="2073"/>
        <w:gridCol w:w="802"/>
        <w:gridCol w:w="802"/>
        <w:gridCol w:w="1145"/>
      </w:tblGrid>
      <w:tr>
        <w:trPr/>
        <w:tc>
          <w:tcPr>
            <w:tcW w:w="35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*Name of entity</w:t>
            </w:r>
          </w:p>
          <w:p>
            <w:pPr>
              <w:pStyle w:val="TableContents"/>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We (the entity named above) provide the following information about our buy-back</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NEWS CORPORATION</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1.2</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*Registration type and number</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Please supply your ABN, ARSN, ARBN, ACN or another registration type and number (if you supply another registration type, please specify both the type of registration and the registration number).</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ARBN 163882933</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1.3</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*ASX issuer code</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NWS</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announcement is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Select whichever is applicable.</w:t>
            </w:r>
          </w:p>
        </w:tc>
        <w:tc>
          <w:tcPr>
            <w:tcW w:w="27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New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Update/amendment to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Cancellation of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Daily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 xml:space="preserve">Not applicable for selective buy-backs </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4)</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Final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5)</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1.4b</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60" w:after="60"/>
              <w:jc w:val="left"/>
              <w:rPr/>
            </w:pPr>
            <w:r>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1.4c</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initial notification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 or “Cancellation of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1.4d</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previous announcement to this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1.5</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announcement</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10/09/2026</w:t>
            </w:r>
          </w:p>
        </w:tc>
      </w:tr>
      <w:tr>
        <w:trPr/>
        <w:tc>
          <w:tcPr>
            <w:tcW w:w="983"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1.6</w:t>
            </w:r>
          </w:p>
        </w:tc>
        <w:tc>
          <w:tcPr>
            <w:tcW w:w="647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*Class of +securities the subject of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only one type of buy-back for one class of security can be advised in this notification. If a buy-back extends to more than one class of security, a separate notification is required for each class.</w:t>
            </w:r>
          </w:p>
        </w:tc>
        <w:tc>
          <w:tcPr>
            <w:tcW w:w="274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ASX Security Code: NWSAA</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Security Description: COMMON STOCK CLASS A</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756285"/>
                <wp:effectExtent l="0" t="0" r="0" b="0"/>
                <wp:wrapNone/>
                <wp:docPr id="5" name="Frame4"/>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 xml:space="preserve">Part 2 –Type of buy-back </w:t>
      </w:r>
    </w:p>
    <w:tbl>
      <w:tblPr>
        <w:tblW w:w="10205" w:type="dxa"/>
        <w:jc w:val="left"/>
        <w:tblInd w:w="0" w:type="dxa"/>
        <w:tblLayout w:type="fixed"/>
        <w:tblCellMar>
          <w:top w:w="28" w:type="dxa"/>
          <w:left w:w="28" w:type="dxa"/>
          <w:bottom w:w="28" w:type="dxa"/>
          <w:right w:w="28" w:type="dxa"/>
        </w:tblCellMar>
      </w:tblPr>
      <w:tblGrid>
        <w:gridCol w:w="332"/>
        <w:gridCol w:w="291"/>
        <w:gridCol w:w="292"/>
        <w:gridCol w:w="1197"/>
        <w:gridCol w:w="1197"/>
        <w:gridCol w:w="1210"/>
        <w:gridCol w:w="1890"/>
        <w:gridCol w:w="1564"/>
        <w:gridCol w:w="2232"/>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36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568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2.1</w:t>
            </w:r>
          </w:p>
        </w:tc>
        <w:tc>
          <w:tcPr>
            <w:tcW w:w="36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*The type of buy-back is</w:t>
            </w:r>
          </w:p>
          <w:p>
            <w:pPr>
              <w:pStyle w:val="TableContents"/>
              <w:bidi w:val="0"/>
              <w:spacing w:lineRule="auto" w:line="288" w:before="60" w:after="60"/>
              <w:jc w:val="left"/>
              <w:rPr>
                <w:rFonts w:ascii="Arial;sans-serif" w:hAnsi="Arial;sans-serif"/>
                <w:b w:val="false"/>
                <w:i/>
                <w:color w:val="000000"/>
                <w:sz w:val="16"/>
              </w:rPr>
            </w:pPr>
            <w:r>
              <w:rPr>
                <w:rFonts w:ascii="Arial;sans-serif" w:hAnsi="Arial;sans-serif"/>
                <w:b w:val="false"/>
                <w:i/>
                <w:color w:val="000000"/>
                <w:sz w:val="16"/>
              </w:rPr>
              <w:t>Note this form is not required for minimum holding buy-backs (i.e. buy-backs of unmarketable parcels). The only notification required to ASX for a minimum holding buy-back is the lodgement of an Appendix 3H within 5 business days of the completion of the minimum holding buy-back notifying ASX of the cancellation of the securities bought back in accordance with listing rule 3.8A.</w:t>
            </w:r>
          </w:p>
        </w:tc>
        <w:tc>
          <w:tcPr>
            <w:tcW w:w="568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Employee share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On-market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Equal access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Selective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Other buy-back</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Select one item.</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Note: “Other buy-back” does not include a minimum holding buy-back. The section “Other buy-back” will generally only be applicable to an entity established outside Australia.</w:t>
            </w:r>
          </w:p>
        </w:tc>
      </w:tr>
      <w:tr>
        <w:trPr/>
        <w:tc>
          <w:tcPr>
            <w:tcW w:w="91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w:t>
            </w:r>
          </w:p>
        </w:tc>
        <w:tc>
          <w:tcPr>
            <w:tcW w:w="360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Please describe the type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68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 program for up to an aggregate of US$1 billion of the Company’s Nasdaq-listed Class A common stock and Class B common stock authorized as of July 15, 2025 (the “2025 Repurchase Program”). Subject to market conditions and the market price of the Company’s stock, as well as other factors, the Company intends to repurchase, from time to time, in the open market or otherwise, a combination of the Company’s Class A common stock and Class B common stock. No ASX-listed CDIs will be repurchased in these programs.</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 –Buy-back details</w:t>
      </w:r>
    </w:p>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Part 3A – Details of +securities, price and reason</w:t>
      </w:r>
    </w:p>
    <w:tbl>
      <w:tblPr>
        <w:tblW w:w="10205" w:type="dxa"/>
        <w:jc w:val="left"/>
        <w:tblInd w:w="0" w:type="dxa"/>
        <w:tblLayout w:type="fixed"/>
        <w:tblCellMar>
          <w:top w:w="28" w:type="dxa"/>
          <w:left w:w="28" w:type="dxa"/>
          <w:bottom w:w="28" w:type="dxa"/>
          <w:right w:w="28" w:type="dxa"/>
        </w:tblCellMar>
      </w:tblPr>
      <w:tblGrid>
        <w:gridCol w:w="165"/>
        <w:gridCol w:w="145"/>
        <w:gridCol w:w="146"/>
        <w:gridCol w:w="1352"/>
        <w:gridCol w:w="1352"/>
        <w:gridCol w:w="1355"/>
        <w:gridCol w:w="1664"/>
        <w:gridCol w:w="1664"/>
        <w:gridCol w:w="2362"/>
      </w:tblGrid>
      <w:tr>
        <w:trPr/>
        <w:tc>
          <w:tcPr>
            <w:tcW w:w="16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w:t>
            </w:r>
          </w:p>
        </w:tc>
        <w:tc>
          <w:tcPr>
            <w:tcW w:w="40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on issue in the class of +securities to be bought 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359,946,996</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3A.2</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 xml:space="preserve">*Total number of +securities proposed to be bought back </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“Selective buy-back” or “Other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3A.4</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minimum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5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w:t>
            </w:r>
          </w:p>
        </w:tc>
        <w:tc>
          <w:tcPr>
            <w:tcW w:w="405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maximum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756285"/>
                <wp:effectExtent l="0" t="0" r="0" b="0"/>
                <wp:wrapNone/>
                <wp:docPr id="6" name="Frame5"/>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tbl>
      <w:tblPr>
        <w:tblW w:w="10205" w:type="dxa"/>
        <w:jc w:val="left"/>
        <w:tblInd w:w="0" w:type="dxa"/>
        <w:tblLayout w:type="fixed"/>
        <w:tblCellMar>
          <w:top w:w="28" w:type="dxa"/>
          <w:left w:w="28" w:type="dxa"/>
          <w:bottom w:w="28" w:type="dxa"/>
          <w:right w:w="28" w:type="dxa"/>
        </w:tblCellMar>
      </w:tblPr>
      <w:tblGrid>
        <w:gridCol w:w="201"/>
        <w:gridCol w:w="178"/>
        <w:gridCol w:w="179"/>
        <w:gridCol w:w="1351"/>
        <w:gridCol w:w="1228"/>
        <w:gridCol w:w="1232"/>
        <w:gridCol w:w="1706"/>
        <w:gridCol w:w="1706"/>
        <w:gridCol w:w="2424"/>
      </w:tblGrid>
      <w:tr>
        <w:trPr/>
        <w:tc>
          <w:tcPr>
            <w:tcW w:w="20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sz w:val="4"/>
                <w:szCs w:val="4"/>
              </w:rPr>
            </w:pPr>
            <w:r>
              <w:rPr>
                <w:sz w:val="4"/>
                <w:szCs w:val="4"/>
              </w:rPr>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*Maximum number of +securities proposed to be bought 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 and your response to Q 3A.5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3A.6</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pPr>
            <w:r>
              <w:rPr>
                <w:rFonts w:ascii="Arial Narrow;sans-serif" w:hAnsi="Arial Narrow;sans-serif"/>
                <w:b w:val="false"/>
                <w:color w:val="000000"/>
                <w:sz w:val="20"/>
              </w:rPr>
              <w:t>*</w:t>
            </w:r>
            <w:r>
              <w:rPr>
                <w:rFonts w:ascii="Arial;sans-serif" w:hAnsi="Arial;sans-serif"/>
                <w:b w:val="false"/>
                <w:color w:val="000000"/>
                <w:sz w:val="20"/>
              </w:rPr>
              <w:t>Name of broker or brokers who will offer to buy back +securities on the entity’s behalf</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Goldman Sachs &amp; Co. LLC</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 +securities being bought back for a cash consideration?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if the securities are being bought back for nil cash consideration, answer this question “No”.</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*Is the price to be paid for +securities bought back known?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3A.9a(i)</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*In what currency will the buy-back consideration be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all prices below are to be expressed in this currency.</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USD – US Dollar</w:t>
            </w:r>
          </w:p>
        </w:tc>
      </w:tr>
      <w:tr>
        <w:trPr/>
        <w:tc>
          <w:tcPr>
            <w:tcW w:w="558"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3A.12</w:t>
            </w:r>
          </w:p>
        </w:tc>
        <w:tc>
          <w:tcPr>
            <w:tcW w:w="381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83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 enhance shareholder value</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3B – Buy-back restrictions and conditions</w:t>
      </w:r>
    </w:p>
    <w:p>
      <w:pPr>
        <w:pStyle w:val="TextBody"/>
        <w:bidi w:val="0"/>
        <w:spacing w:before="60" w:after="60"/>
        <w:jc w:val="left"/>
        <w:rPr/>
      </w:pPr>
      <w:r>
        <w:rPr/>
      </w:r>
    </w:p>
    <w:tbl>
      <w:tblPr>
        <w:tblW w:w="10205" w:type="dxa"/>
        <w:jc w:val="left"/>
        <w:tblInd w:w="0" w:type="dxa"/>
        <w:tblLayout w:type="fixed"/>
        <w:tblCellMar>
          <w:top w:w="28" w:type="dxa"/>
          <w:left w:w="28" w:type="dxa"/>
          <w:bottom w:w="28" w:type="dxa"/>
          <w:right w:w="28" w:type="dxa"/>
        </w:tblCellMar>
      </w:tblPr>
      <w:tblGrid>
        <w:gridCol w:w="179"/>
        <w:gridCol w:w="158"/>
        <w:gridCol w:w="159"/>
        <w:gridCol w:w="3158"/>
        <w:gridCol w:w="3073"/>
        <w:gridCol w:w="3083"/>
        <w:gridCol w:w="114"/>
        <w:gridCol w:w="114"/>
        <w:gridCol w:w="167"/>
      </w:tblGrid>
      <w:tr>
        <w:trPr/>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158" w:type="dxa"/>
            <w:tcBorders/>
            <w:vAlign w:val="center"/>
          </w:tcPr>
          <w:p>
            <w:pPr>
              <w:pStyle w:val="TableContents"/>
              <w:bidi w:val="0"/>
              <w:spacing w:before="0" w:after="283"/>
              <w:jc w:val="left"/>
              <w:rPr>
                <w:sz w:val="4"/>
                <w:szCs w:val="4"/>
              </w:rPr>
            </w:pPr>
            <w:r>
              <w:rPr>
                <w:sz w:val="4"/>
                <w:szCs w:val="4"/>
              </w:rPr>
            </w:r>
          </w:p>
        </w:tc>
        <w:tc>
          <w:tcPr>
            <w:tcW w:w="3073" w:type="dxa"/>
            <w:tcBorders/>
            <w:vAlign w:val="center"/>
          </w:tcPr>
          <w:p>
            <w:pPr>
              <w:pStyle w:val="TableContents"/>
              <w:bidi w:val="0"/>
              <w:spacing w:before="0" w:after="283"/>
              <w:jc w:val="left"/>
              <w:rPr>
                <w:sz w:val="4"/>
                <w:szCs w:val="4"/>
              </w:rPr>
            </w:pPr>
            <w:r>
              <w:rPr>
                <w:sz w:val="4"/>
                <w:szCs w:val="4"/>
              </w:rPr>
            </w:r>
          </w:p>
        </w:tc>
        <w:tc>
          <w:tcPr>
            <w:tcW w:w="308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3B.1</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buy-back require security holder approval?</w:t>
            </w:r>
          </w:p>
          <w:p>
            <w:pPr>
              <w:pStyle w:val="TableContents"/>
              <w:bidi w:val="0"/>
              <w:spacing w:lineRule="auto" w:line="240" w:before="60" w:after="60"/>
              <w:jc w:val="left"/>
              <w:rPr>
                <w:rFonts w:ascii="Arial;sans-serif" w:hAnsi="Arial;sans-serif"/>
                <w:b w:val="false"/>
                <w:i/>
                <w:color w:val="000000"/>
                <w:sz w:val="16"/>
                <w:shd w:fill="FFFFFF" w:val="clear"/>
              </w:rPr>
            </w:pPr>
            <w:r>
              <w:rPr>
                <w:rFonts w:ascii="Arial;sans-serif" w:hAnsi="Arial;sans-serif"/>
                <w:b w:val="false"/>
                <w:i/>
                <w:color w:val="000000"/>
                <w:sz w:val="16"/>
                <w:shd w:fill="FFFFFF" w:val="clear"/>
              </w:rPr>
              <w:t>Disregard any security holder approval that has already been obtained.</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3B.2</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restrictions on foreign participation in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“Equal access scheme buy-back”, “Selective buy-back” or “Other buy-back”.</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3B.3</w:t>
            </w:r>
          </w:p>
        </w:tc>
        <w:tc>
          <w:tcPr>
            <w:tcW w:w="931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other conditions that need to be satisfied before the buy-back offer becomes unconditional</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“Equal access scheme buy-back”, “Selective buy-back” or “Other buy-back”</w:t>
            </w:r>
          </w:p>
        </w:tc>
        <w:tc>
          <w:tcPr>
            <w:tcW w:w="395"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3C - Key dates</w:t>
      </w:r>
    </w:p>
    <w:tbl>
      <w:tblPr>
        <w:tblW w:w="10205" w:type="dxa"/>
        <w:jc w:val="left"/>
        <w:tblInd w:w="0" w:type="dxa"/>
        <w:tblLayout w:type="fixed"/>
        <w:tblCellMar>
          <w:top w:w="28" w:type="dxa"/>
          <w:left w:w="28" w:type="dxa"/>
          <w:bottom w:w="28" w:type="dxa"/>
          <w:right w:w="28" w:type="dxa"/>
        </w:tblCellMar>
      </w:tblPr>
      <w:tblGrid>
        <w:gridCol w:w="1198"/>
        <w:gridCol w:w="1054"/>
        <w:gridCol w:w="1054"/>
        <w:gridCol w:w="1097"/>
        <w:gridCol w:w="1075"/>
        <w:gridCol w:w="1075"/>
        <w:gridCol w:w="1059"/>
        <w:gridCol w:w="1054"/>
        <w:gridCol w:w="1539"/>
      </w:tblGrid>
      <w:tr>
        <w:trPr/>
        <w:tc>
          <w:tcPr>
            <w:tcW w:w="1198"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jc w:val="left"/>
              <w:rPr>
                <w:rFonts w:ascii="Arial;sans-serif" w:hAnsi="Arial;sans-serif"/>
                <w:b/>
                <w:color w:val="000000"/>
                <w:sz w:val="20"/>
              </w:rPr>
            </w:pPr>
            <w:r>
              <w:rPr>
                <w:rFonts w:ascii="Arial;sans-serif" w:hAnsi="Arial;sans-serif"/>
                <w:b/>
                <w:color w:val="000000"/>
                <w:sz w:val="20"/>
              </w:rPr>
              <w:t>Employee Share Scheme, Selective and Other Buy-Backs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“Selective buy-back” or “Other buy-back”</w:t>
            </w:r>
          </w:p>
        </w:tc>
      </w:tr>
      <w:tr>
        <w:trPr/>
        <w:tc>
          <w:tcPr>
            <w:tcW w:w="330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3C.1</w:t>
            </w:r>
          </w:p>
        </w:tc>
        <w:tc>
          <w:tcPr>
            <w:tcW w:w="324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pPr>
            <w:r>
              <w:rPr>
                <w:rFonts w:ascii="Arial;sans-serif" w:hAnsi="Arial;sans-serif"/>
                <w:b/>
                <w:color w:val="000000"/>
                <w:sz w:val="20"/>
              </w:rPr>
              <w:t>*</w:t>
            </w:r>
            <w:r>
              <w:rPr>
                <w:rFonts w:ascii="Arial;sans-serif" w:hAnsi="Arial;sans-serif"/>
                <w:b w:val="false"/>
                <w:color w:val="000000"/>
                <w:sz w:val="20"/>
              </w:rPr>
              <w:t>Anticipated date buy-back will occur</w:t>
            </w:r>
          </w:p>
        </w:tc>
        <w:tc>
          <w:tcPr>
            <w:tcW w:w="3652"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22/9/2021</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3D – Other information</w:t>
      </w:r>
    </w:p>
    <w:tbl>
      <w:tblPr>
        <w:tblW w:w="7571" w:type="dxa"/>
        <w:jc w:val="left"/>
        <w:tblInd w:w="0" w:type="dxa"/>
        <w:tblLayout w:type="fixed"/>
        <w:tblCellMar>
          <w:top w:w="28" w:type="dxa"/>
          <w:left w:w="28" w:type="dxa"/>
          <w:bottom w:w="28" w:type="dxa"/>
          <w:right w:w="28" w:type="dxa"/>
        </w:tblCellMar>
      </w:tblPr>
      <w:tblGrid>
        <w:gridCol w:w="189"/>
        <w:gridCol w:w="167"/>
        <w:gridCol w:w="168"/>
        <w:gridCol w:w="2223"/>
        <w:gridCol w:w="2223"/>
        <w:gridCol w:w="2229"/>
        <w:gridCol w:w="109"/>
        <w:gridCol w:w="109"/>
        <w:gridCol w:w="154"/>
      </w:tblGrid>
      <w:tr>
        <w:trPr/>
        <w:tc>
          <w:tcPr>
            <w:tcW w:w="18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3D.1</w:t>
            </w:r>
          </w:p>
        </w:tc>
        <w:tc>
          <w:tcPr>
            <w:tcW w:w="667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Any other information the entity wishes to notify to ASX about the buy-back</w:t>
            </w:r>
          </w:p>
        </w:tc>
        <w:tc>
          <w:tcPr>
            <w:tcW w:w="372"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hanging="1701"/>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756285"/>
                <wp:effectExtent l="0" t="0" r="0" b="0"/>
                <wp:wrapNone/>
                <wp:docPr id="7" name="Frame6"/>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 xml:space="preserve">Part 4 – Daily buy-back notification </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“On-market buy-back”, “Equal access share scheme buy-back” or “Other buy-back”) and you are giving a daily buy-back notification under listing rule 3.8A.</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 daily buy-back notification must be submitted for these types of buy-backs at least half an hour before the commencement of trading on the business day after any day on which securities are bought back (per listing rule 3.8A).</w:t>
      </w:r>
    </w:p>
    <w:tbl>
      <w:tblPr>
        <w:tblW w:w="10205" w:type="dxa"/>
        <w:jc w:val="left"/>
        <w:tblInd w:w="0" w:type="dxa"/>
        <w:tblLayout w:type="fixed"/>
        <w:tblCellMar>
          <w:top w:w="28" w:type="dxa"/>
          <w:left w:w="28" w:type="dxa"/>
          <w:bottom w:w="28" w:type="dxa"/>
          <w:right w:w="28" w:type="dxa"/>
        </w:tblCellMar>
      </w:tblPr>
      <w:tblGrid>
        <w:gridCol w:w="141"/>
        <w:gridCol w:w="124"/>
        <w:gridCol w:w="126"/>
        <w:gridCol w:w="1197"/>
        <w:gridCol w:w="687"/>
        <w:gridCol w:w="622"/>
        <w:gridCol w:w="888"/>
        <w:gridCol w:w="612"/>
        <w:gridCol w:w="354"/>
        <w:gridCol w:w="1681"/>
        <w:gridCol w:w="1681"/>
        <w:gridCol w:w="2092"/>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2092"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4.1</w:t>
            </w:r>
          </w:p>
        </w:tc>
        <w:tc>
          <w:tcPr>
            <w:tcW w:w="4360"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notification</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10/09/2026</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4.2</w:t>
            </w:r>
          </w:p>
        </w:tc>
        <w:tc>
          <w:tcPr>
            <w:tcW w:w="4360" w:type="dxa"/>
            <w:gridSpan w:val="6"/>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*Previous day on which +securities were bought back</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09/09/2026</w:t>
            </w:r>
          </w:p>
        </w:tc>
      </w:tr>
      <w:tr>
        <w:trPr/>
        <w:tc>
          <w:tcPr>
            <w:tcW w:w="3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Before previous day</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On previous day</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4.3</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bought back, or in relation to which acceptances have been received</w:t>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11,727,932</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58,482</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4.4</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*Total consideration paid or payable for the +securities </w:t>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US$304,671,186.67 </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US$1,731,096.44 </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4.5</w:t>
            </w:r>
          </w:p>
        </w:tc>
        <w:tc>
          <w:tcPr>
            <w:tcW w:w="25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*Highest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US$31.58</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highest price was paid: 27/08/2026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US$29.81</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4.6</w:t>
            </w:r>
          </w:p>
        </w:tc>
        <w:tc>
          <w:tcPr>
            <w:tcW w:w="250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*Lowest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US$22.20</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lowest price was paid: 09/02/2026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US$29.24</w:t>
            </w:r>
          </w:p>
        </w:tc>
      </w:tr>
      <w:tr>
        <w:trPr/>
        <w:tc>
          <w:tcPr>
            <w:tcW w:w="391"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4.8</w:t>
            </w:r>
          </w:p>
        </w:tc>
        <w:tc>
          <w:tcPr>
            <w:tcW w:w="4360" w:type="dxa"/>
            <w:gridSpan w:val="6"/>
            <w:tcBorders>
              <w:left w:val="single" w:sz="4" w:space="0" w:color="000000"/>
              <w:bottom w:val="single" w:sz="4" w:space="0" w:color="000000"/>
            </w:tcBorders>
            <w:tcMar>
              <w:top w:w="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*If the entity has disclosed an intention to buy back a maximum number of +securities, the remaining number of +securities to be bought back as at the end of the previous day</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ASX has calculated this number for you based on previous notifications. If it is not correct, please amend it to the correct number and consider whether any updates need to be made to previous notifications.</w:t>
            </w:r>
          </w:p>
        </w:tc>
        <w:tc>
          <w:tcPr>
            <w:tcW w:w="545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company is authorized to acquire up to an aggregate of US$1 billion of the Company’s Nasdaq-listed Class A common stock and Class B common stock under the 2025 Repurchase Program. To date, the company has purchased approximately US$468,463,939 worth of Class A and Class B shares (based on total consideration paid) under the 2025 Repurchase Program.</w:t>
            </w:r>
          </w:p>
        </w:tc>
      </w:tr>
    </w:tbl>
    <w:p>
      <w:pPr>
        <w:pStyle w:val="TextBody"/>
        <w:bidi w:val="0"/>
        <w:spacing w:before="60" w:after="60"/>
        <w:jc w:val="left"/>
        <w:rPr/>
      </w:pPr>
      <w:r>
        <w:rPr/>
      </w:r>
    </w:p>
    <w:p>
      <w:pPr>
        <w:pStyle w:val="TextBody"/>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Introduced 05/06/21</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756285"/>
                <wp:effectExtent l="0" t="0" r="0" b="0"/>
                <wp:wrapNone/>
                <wp:docPr id="8" name="Frame7"/>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v:textbox>
                <w10:wrap type="none"/>
              </v:rect>
            </w:pict>
          </mc:Fallback>
        </mc:AlternateContent>
      </w:r>
    </w:p>
    <w:tbl>
      <w:tblPr>
        <w:tblW w:w="1139" w:type="dxa"/>
        <w:jc w:val="left"/>
        <w:tblInd w:w="0" w:type="dxa"/>
        <w:tblLayout w:type="fixed"/>
        <w:tblCellMar>
          <w:top w:w="28" w:type="dxa"/>
          <w:left w:w="28" w:type="dxa"/>
          <w:bottom w:w="28" w:type="dxa"/>
          <w:right w:w="28" w:type="dxa"/>
        </w:tblCellMar>
      </w:tblPr>
      <w:tblGrid>
        <w:gridCol w:w="364"/>
        <w:gridCol w:w="320"/>
        <w:gridCol w:w="455"/>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+Rule 3.8A</w:t>
            </w:r>
          </w:p>
        </w:tc>
      </w:tr>
    </w:tbl>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Appendix 3C</w:t>
      </w:r>
    </w:p>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Notification of buy-back</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Information or documents not available now must be given to ASX as soon as available. Information and documents given to ASX become ASX’s property and may be made public.</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*Denotes minimum information required for first lodgement of this form, with exceptions provided in specific notes for certain questions. The balance of the information, where applicable, must be provided as soon as reasonably practicable by the entity.</w:t>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1 – Entity and announcement details</w:t>
      </w:r>
    </w:p>
    <w:tbl>
      <w:tblPr>
        <w:tblW w:w="10205" w:type="dxa"/>
        <w:jc w:val="left"/>
        <w:tblInd w:w="0" w:type="dxa"/>
        <w:tblLayout w:type="fixed"/>
        <w:tblCellMar>
          <w:top w:w="28" w:type="dxa"/>
          <w:left w:w="28" w:type="dxa"/>
          <w:bottom w:w="28" w:type="dxa"/>
          <w:right w:w="28" w:type="dxa"/>
        </w:tblCellMar>
      </w:tblPr>
      <w:tblGrid>
        <w:gridCol w:w="356"/>
        <w:gridCol w:w="313"/>
        <w:gridCol w:w="314"/>
        <w:gridCol w:w="2333"/>
        <w:gridCol w:w="2067"/>
        <w:gridCol w:w="2073"/>
        <w:gridCol w:w="802"/>
        <w:gridCol w:w="802"/>
        <w:gridCol w:w="1145"/>
      </w:tblGrid>
      <w:tr>
        <w:trPr/>
        <w:tc>
          <w:tcPr>
            <w:tcW w:w="35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*Name of entity</w:t>
            </w:r>
          </w:p>
          <w:p>
            <w:pPr>
              <w:pStyle w:val="TableContents"/>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We (the entity named above) provide the following information about our buy-back</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NEWS CORPORATION</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1.2</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*Registration type and number</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Please supply your ABN, ARSN, ARBN, ACN or another registration type and number (if you supply another registration type, please specify both the type of registration and the registration number).</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ARBN 163882933</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1.3</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*ASX issuer code</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NWS</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announcement is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Select whichever is applicable.</w:t>
            </w:r>
          </w:p>
        </w:tc>
        <w:tc>
          <w:tcPr>
            <w:tcW w:w="27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New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Update/amendment to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Cancellation of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Daily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 xml:space="preserve">Not applicable for selective buy-backs </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4)</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Final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5)</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1.4b</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60" w:after="60"/>
              <w:jc w:val="left"/>
              <w:rPr/>
            </w:pPr>
            <w:r>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1.4c</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initial notification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 or “Cancellation of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1.4d</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previous announcement to this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1.5</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announcement</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10/09/2026</w:t>
            </w:r>
          </w:p>
        </w:tc>
      </w:tr>
      <w:tr>
        <w:trPr/>
        <w:tc>
          <w:tcPr>
            <w:tcW w:w="983"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1.6</w:t>
            </w:r>
          </w:p>
        </w:tc>
        <w:tc>
          <w:tcPr>
            <w:tcW w:w="647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*Class of +securities the subject of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only one type of buy-back for one class of security can be advised in this notification. If a buy-back extends to more than one class of security, a separate notification is required for each class.</w:t>
            </w:r>
          </w:p>
        </w:tc>
        <w:tc>
          <w:tcPr>
            <w:tcW w:w="274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ASX Security Code: NWSAB</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Security Description: COMMON STOCK CLASS B</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756285"/>
                <wp:effectExtent l="0" t="0" r="0" b="0"/>
                <wp:wrapNone/>
                <wp:docPr id="9" name="Frame8"/>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 xml:space="preserve">Part 2 –Type of buy-back </w:t>
      </w:r>
    </w:p>
    <w:tbl>
      <w:tblPr>
        <w:tblW w:w="10205" w:type="dxa"/>
        <w:jc w:val="left"/>
        <w:tblInd w:w="0" w:type="dxa"/>
        <w:tblLayout w:type="fixed"/>
        <w:tblCellMar>
          <w:top w:w="28" w:type="dxa"/>
          <w:left w:w="28" w:type="dxa"/>
          <w:bottom w:w="28" w:type="dxa"/>
          <w:right w:w="28" w:type="dxa"/>
        </w:tblCellMar>
      </w:tblPr>
      <w:tblGrid>
        <w:gridCol w:w="332"/>
        <w:gridCol w:w="291"/>
        <w:gridCol w:w="292"/>
        <w:gridCol w:w="1197"/>
        <w:gridCol w:w="1197"/>
        <w:gridCol w:w="1210"/>
        <w:gridCol w:w="1890"/>
        <w:gridCol w:w="1564"/>
        <w:gridCol w:w="2232"/>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36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568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2.1</w:t>
            </w:r>
          </w:p>
        </w:tc>
        <w:tc>
          <w:tcPr>
            <w:tcW w:w="36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*The type of buy-back is</w:t>
            </w:r>
          </w:p>
          <w:p>
            <w:pPr>
              <w:pStyle w:val="TableContents"/>
              <w:bidi w:val="0"/>
              <w:spacing w:lineRule="auto" w:line="288" w:before="60" w:after="60"/>
              <w:jc w:val="left"/>
              <w:rPr>
                <w:rFonts w:ascii="Arial;sans-serif" w:hAnsi="Arial;sans-serif"/>
                <w:b w:val="false"/>
                <w:i/>
                <w:color w:val="000000"/>
                <w:sz w:val="16"/>
              </w:rPr>
            </w:pPr>
            <w:r>
              <w:rPr>
                <w:rFonts w:ascii="Arial;sans-serif" w:hAnsi="Arial;sans-serif"/>
                <w:b w:val="false"/>
                <w:i/>
                <w:color w:val="000000"/>
                <w:sz w:val="16"/>
              </w:rPr>
              <w:t>Note this form is not required for minimum holding buy-backs (i.e. buy-backs of unmarketable parcels). The only notification required to ASX for a minimum holding buy-back is the lodgement of an Appendix 3H within 5 business days of the completion of the minimum holding buy-back notifying ASX of the cancellation of the securities bought back in accordance with listing rule 3.8A.</w:t>
            </w:r>
          </w:p>
        </w:tc>
        <w:tc>
          <w:tcPr>
            <w:tcW w:w="568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Employee share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On-market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Equal access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Selective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Other buy-back</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Select one item.</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Note: “Other buy-back” does not include a minimum holding buy-back. The section “Other buy-back” will generally only be applicable to an entity established outside Australia.</w:t>
            </w:r>
          </w:p>
        </w:tc>
      </w:tr>
      <w:tr>
        <w:trPr/>
        <w:tc>
          <w:tcPr>
            <w:tcW w:w="91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w:t>
            </w:r>
          </w:p>
        </w:tc>
        <w:tc>
          <w:tcPr>
            <w:tcW w:w="360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Please describe the type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68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 program for up to an aggregate of US$1 billion of the Company’s Nasdaq-listed Class A common stock and Class B common stock authorized as of July 15, 2025 (the “2025 Repurchase Program”). Subject to market conditions and the market price of the Company’s stock, as well as other factors, the Company intends to repurchase, from time to time, in the open market or otherwise, a combination of the Company’s Class A common stock and Class B common stock. No ASX-listed CDIs will be repurchased in these programs.</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 –Buy-back details</w:t>
      </w:r>
    </w:p>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Part 3A – Details of +securities, price and reason</w:t>
      </w:r>
    </w:p>
    <w:tbl>
      <w:tblPr>
        <w:tblW w:w="10205" w:type="dxa"/>
        <w:jc w:val="left"/>
        <w:tblInd w:w="0" w:type="dxa"/>
        <w:tblLayout w:type="fixed"/>
        <w:tblCellMar>
          <w:top w:w="28" w:type="dxa"/>
          <w:left w:w="28" w:type="dxa"/>
          <w:bottom w:w="28" w:type="dxa"/>
          <w:right w:w="28" w:type="dxa"/>
        </w:tblCellMar>
      </w:tblPr>
      <w:tblGrid>
        <w:gridCol w:w="165"/>
        <w:gridCol w:w="145"/>
        <w:gridCol w:w="146"/>
        <w:gridCol w:w="1352"/>
        <w:gridCol w:w="1352"/>
        <w:gridCol w:w="1355"/>
        <w:gridCol w:w="1664"/>
        <w:gridCol w:w="1664"/>
        <w:gridCol w:w="2362"/>
      </w:tblGrid>
      <w:tr>
        <w:trPr/>
        <w:tc>
          <w:tcPr>
            <w:tcW w:w="16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w:t>
            </w:r>
          </w:p>
        </w:tc>
        <w:tc>
          <w:tcPr>
            <w:tcW w:w="40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on issue in the class of +securities to be bought 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141,367,365</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3A.2</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 xml:space="preserve">*Total number of +securities proposed to be bought back </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“Selective buy-back” or “Other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3A.4</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minimum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5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w:t>
            </w:r>
          </w:p>
        </w:tc>
        <w:tc>
          <w:tcPr>
            <w:tcW w:w="405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maximum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756285"/>
                <wp:effectExtent l="0" t="0" r="0" b="0"/>
                <wp:wrapNone/>
                <wp:docPr id="10" name="Frame9"/>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tbl>
      <w:tblPr>
        <w:tblW w:w="10205" w:type="dxa"/>
        <w:jc w:val="left"/>
        <w:tblInd w:w="0" w:type="dxa"/>
        <w:tblLayout w:type="fixed"/>
        <w:tblCellMar>
          <w:top w:w="28" w:type="dxa"/>
          <w:left w:w="28" w:type="dxa"/>
          <w:bottom w:w="28" w:type="dxa"/>
          <w:right w:w="28" w:type="dxa"/>
        </w:tblCellMar>
      </w:tblPr>
      <w:tblGrid>
        <w:gridCol w:w="201"/>
        <w:gridCol w:w="178"/>
        <w:gridCol w:w="179"/>
        <w:gridCol w:w="1351"/>
        <w:gridCol w:w="1228"/>
        <w:gridCol w:w="1232"/>
        <w:gridCol w:w="1706"/>
        <w:gridCol w:w="1706"/>
        <w:gridCol w:w="2424"/>
      </w:tblGrid>
      <w:tr>
        <w:trPr/>
        <w:tc>
          <w:tcPr>
            <w:tcW w:w="20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sz w:val="4"/>
                <w:szCs w:val="4"/>
              </w:rPr>
            </w:pPr>
            <w:r>
              <w:rPr>
                <w:sz w:val="4"/>
                <w:szCs w:val="4"/>
              </w:rPr>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*Maximum number of +securities proposed to be bought 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 and your response to Q 3A.5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3A.6</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pPr>
            <w:r>
              <w:rPr>
                <w:rFonts w:ascii="Arial Narrow;sans-serif" w:hAnsi="Arial Narrow;sans-serif"/>
                <w:b w:val="false"/>
                <w:color w:val="000000"/>
                <w:sz w:val="20"/>
              </w:rPr>
              <w:t>*</w:t>
            </w:r>
            <w:r>
              <w:rPr>
                <w:rFonts w:ascii="Arial;sans-serif" w:hAnsi="Arial;sans-serif"/>
                <w:b w:val="false"/>
                <w:color w:val="000000"/>
                <w:sz w:val="20"/>
              </w:rPr>
              <w:t>Name of broker or brokers who will offer to buy back +securities on the entity’s behalf</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Goldman Sachs &amp; Co. LLC</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 +securities being bought back for a cash consideration?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if the securities are being bought back for nil cash consideration, answer this question “No”.</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*Is the price to be paid for +securities bought back known?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3A.9a(i)</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*In what currency will the buy-back consideration be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all prices below are to be expressed in this currency.</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USD – US Dollar</w:t>
            </w:r>
          </w:p>
        </w:tc>
      </w:tr>
      <w:tr>
        <w:trPr/>
        <w:tc>
          <w:tcPr>
            <w:tcW w:w="558"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3A.12</w:t>
            </w:r>
          </w:p>
        </w:tc>
        <w:tc>
          <w:tcPr>
            <w:tcW w:w="381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83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 enhance shareholder value</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3B – Buy-back restrictions and conditions</w:t>
      </w:r>
    </w:p>
    <w:p>
      <w:pPr>
        <w:pStyle w:val="TextBody"/>
        <w:bidi w:val="0"/>
        <w:spacing w:before="60" w:after="60"/>
        <w:jc w:val="left"/>
        <w:rPr/>
      </w:pPr>
      <w:r>
        <w:rPr/>
      </w:r>
    </w:p>
    <w:tbl>
      <w:tblPr>
        <w:tblW w:w="10205" w:type="dxa"/>
        <w:jc w:val="left"/>
        <w:tblInd w:w="0" w:type="dxa"/>
        <w:tblLayout w:type="fixed"/>
        <w:tblCellMar>
          <w:top w:w="28" w:type="dxa"/>
          <w:left w:w="28" w:type="dxa"/>
          <w:bottom w:w="28" w:type="dxa"/>
          <w:right w:w="28" w:type="dxa"/>
        </w:tblCellMar>
      </w:tblPr>
      <w:tblGrid>
        <w:gridCol w:w="179"/>
        <w:gridCol w:w="158"/>
        <w:gridCol w:w="159"/>
        <w:gridCol w:w="3158"/>
        <w:gridCol w:w="3073"/>
        <w:gridCol w:w="3083"/>
        <w:gridCol w:w="114"/>
        <w:gridCol w:w="114"/>
        <w:gridCol w:w="167"/>
      </w:tblGrid>
      <w:tr>
        <w:trPr/>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158" w:type="dxa"/>
            <w:tcBorders/>
            <w:vAlign w:val="center"/>
          </w:tcPr>
          <w:p>
            <w:pPr>
              <w:pStyle w:val="TableContents"/>
              <w:bidi w:val="0"/>
              <w:spacing w:before="0" w:after="283"/>
              <w:jc w:val="left"/>
              <w:rPr>
                <w:sz w:val="4"/>
                <w:szCs w:val="4"/>
              </w:rPr>
            </w:pPr>
            <w:r>
              <w:rPr>
                <w:sz w:val="4"/>
                <w:szCs w:val="4"/>
              </w:rPr>
            </w:r>
          </w:p>
        </w:tc>
        <w:tc>
          <w:tcPr>
            <w:tcW w:w="3073" w:type="dxa"/>
            <w:tcBorders/>
            <w:vAlign w:val="center"/>
          </w:tcPr>
          <w:p>
            <w:pPr>
              <w:pStyle w:val="TableContents"/>
              <w:bidi w:val="0"/>
              <w:spacing w:before="0" w:after="283"/>
              <w:jc w:val="left"/>
              <w:rPr>
                <w:sz w:val="4"/>
                <w:szCs w:val="4"/>
              </w:rPr>
            </w:pPr>
            <w:r>
              <w:rPr>
                <w:sz w:val="4"/>
                <w:szCs w:val="4"/>
              </w:rPr>
            </w:r>
          </w:p>
        </w:tc>
        <w:tc>
          <w:tcPr>
            <w:tcW w:w="308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3B.1</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buy-back require security holder approval?</w:t>
            </w:r>
          </w:p>
          <w:p>
            <w:pPr>
              <w:pStyle w:val="TableContents"/>
              <w:bidi w:val="0"/>
              <w:spacing w:lineRule="auto" w:line="240" w:before="60" w:after="60"/>
              <w:jc w:val="left"/>
              <w:rPr>
                <w:rFonts w:ascii="Arial;sans-serif" w:hAnsi="Arial;sans-serif"/>
                <w:b w:val="false"/>
                <w:i/>
                <w:color w:val="000000"/>
                <w:sz w:val="16"/>
                <w:shd w:fill="FFFFFF" w:val="clear"/>
              </w:rPr>
            </w:pPr>
            <w:r>
              <w:rPr>
                <w:rFonts w:ascii="Arial;sans-serif" w:hAnsi="Arial;sans-serif"/>
                <w:b w:val="false"/>
                <w:i/>
                <w:color w:val="000000"/>
                <w:sz w:val="16"/>
                <w:shd w:fill="FFFFFF" w:val="clear"/>
              </w:rPr>
              <w:t>Disregard any security holder approval that has already been obtained.</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3B.2</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restrictions on foreign participation in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“Equal access scheme buy-back”, “Selective buy-back” or “Other buy-back”.</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3B.3</w:t>
            </w:r>
          </w:p>
        </w:tc>
        <w:tc>
          <w:tcPr>
            <w:tcW w:w="931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other conditions that need to be satisfied before the buy-back offer becomes unconditional</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“Equal access scheme buy-back”, “Selective buy-back” or “Other buy-back”</w:t>
            </w:r>
          </w:p>
        </w:tc>
        <w:tc>
          <w:tcPr>
            <w:tcW w:w="395"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3C - Key dates</w:t>
      </w:r>
    </w:p>
    <w:tbl>
      <w:tblPr>
        <w:tblW w:w="10205" w:type="dxa"/>
        <w:jc w:val="left"/>
        <w:tblInd w:w="0" w:type="dxa"/>
        <w:tblLayout w:type="fixed"/>
        <w:tblCellMar>
          <w:top w:w="28" w:type="dxa"/>
          <w:left w:w="28" w:type="dxa"/>
          <w:bottom w:w="28" w:type="dxa"/>
          <w:right w:w="28" w:type="dxa"/>
        </w:tblCellMar>
      </w:tblPr>
      <w:tblGrid>
        <w:gridCol w:w="1198"/>
        <w:gridCol w:w="1054"/>
        <w:gridCol w:w="1054"/>
        <w:gridCol w:w="1097"/>
        <w:gridCol w:w="1075"/>
        <w:gridCol w:w="1075"/>
        <w:gridCol w:w="1059"/>
        <w:gridCol w:w="1054"/>
        <w:gridCol w:w="1539"/>
      </w:tblGrid>
      <w:tr>
        <w:trPr/>
        <w:tc>
          <w:tcPr>
            <w:tcW w:w="1198"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jc w:val="left"/>
              <w:rPr>
                <w:rFonts w:ascii="Arial;sans-serif" w:hAnsi="Arial;sans-serif"/>
                <w:b/>
                <w:color w:val="000000"/>
                <w:sz w:val="20"/>
              </w:rPr>
            </w:pPr>
            <w:r>
              <w:rPr>
                <w:rFonts w:ascii="Arial;sans-serif" w:hAnsi="Arial;sans-serif"/>
                <w:b/>
                <w:color w:val="000000"/>
                <w:sz w:val="20"/>
              </w:rPr>
              <w:t>Employee Share Scheme, Selective and Other Buy-Backs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“Selective buy-back” or “Other buy-back”</w:t>
            </w:r>
          </w:p>
        </w:tc>
      </w:tr>
      <w:tr>
        <w:trPr/>
        <w:tc>
          <w:tcPr>
            <w:tcW w:w="330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3C.1</w:t>
            </w:r>
          </w:p>
        </w:tc>
        <w:tc>
          <w:tcPr>
            <w:tcW w:w="324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pPr>
            <w:r>
              <w:rPr>
                <w:rFonts w:ascii="Arial;sans-serif" w:hAnsi="Arial;sans-serif"/>
                <w:b/>
                <w:color w:val="000000"/>
                <w:sz w:val="20"/>
              </w:rPr>
              <w:t>*</w:t>
            </w:r>
            <w:r>
              <w:rPr>
                <w:rFonts w:ascii="Arial;sans-serif" w:hAnsi="Arial;sans-serif"/>
                <w:b w:val="false"/>
                <w:color w:val="000000"/>
                <w:sz w:val="20"/>
              </w:rPr>
              <w:t>Anticipated date buy-back will occur</w:t>
            </w:r>
          </w:p>
        </w:tc>
        <w:tc>
          <w:tcPr>
            <w:tcW w:w="3652"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22/9/2021</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3D – Other information</w:t>
      </w:r>
    </w:p>
    <w:tbl>
      <w:tblPr>
        <w:tblW w:w="7571" w:type="dxa"/>
        <w:jc w:val="left"/>
        <w:tblInd w:w="0" w:type="dxa"/>
        <w:tblLayout w:type="fixed"/>
        <w:tblCellMar>
          <w:top w:w="28" w:type="dxa"/>
          <w:left w:w="28" w:type="dxa"/>
          <w:bottom w:w="28" w:type="dxa"/>
          <w:right w:w="28" w:type="dxa"/>
        </w:tblCellMar>
      </w:tblPr>
      <w:tblGrid>
        <w:gridCol w:w="189"/>
        <w:gridCol w:w="167"/>
        <w:gridCol w:w="168"/>
        <w:gridCol w:w="2223"/>
        <w:gridCol w:w="2223"/>
        <w:gridCol w:w="2229"/>
        <w:gridCol w:w="109"/>
        <w:gridCol w:w="109"/>
        <w:gridCol w:w="154"/>
      </w:tblGrid>
      <w:tr>
        <w:trPr/>
        <w:tc>
          <w:tcPr>
            <w:tcW w:w="18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3D.1</w:t>
            </w:r>
          </w:p>
        </w:tc>
        <w:tc>
          <w:tcPr>
            <w:tcW w:w="667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Any other information the entity wishes to notify to ASX about the buy-back</w:t>
            </w:r>
          </w:p>
        </w:tc>
        <w:tc>
          <w:tcPr>
            <w:tcW w:w="372"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hanging="1701"/>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756285"/>
                <wp:effectExtent l="0" t="0" r="0" b="0"/>
                <wp:wrapNone/>
                <wp:docPr id="11" name="Frame10"/>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 xml:space="preserve">Part 4 – Daily buy-back notification </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“On-market buy-back”, “Equal access share scheme buy-back” or “Other buy-back”) and you are giving a daily buy-back notification under listing rule 3.8A.</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 daily buy-back notification must be submitted for these types of buy-backs at least half an hour before the commencement of trading on the business day after any day on which securities are bought back (per listing rule 3.8A).</w:t>
      </w:r>
    </w:p>
    <w:tbl>
      <w:tblPr>
        <w:tblW w:w="10205" w:type="dxa"/>
        <w:jc w:val="left"/>
        <w:tblInd w:w="0" w:type="dxa"/>
        <w:tblLayout w:type="fixed"/>
        <w:tblCellMar>
          <w:top w:w="28" w:type="dxa"/>
          <w:left w:w="28" w:type="dxa"/>
          <w:bottom w:w="28" w:type="dxa"/>
          <w:right w:w="28" w:type="dxa"/>
        </w:tblCellMar>
      </w:tblPr>
      <w:tblGrid>
        <w:gridCol w:w="141"/>
        <w:gridCol w:w="124"/>
        <w:gridCol w:w="126"/>
        <w:gridCol w:w="1197"/>
        <w:gridCol w:w="687"/>
        <w:gridCol w:w="622"/>
        <w:gridCol w:w="888"/>
        <w:gridCol w:w="612"/>
        <w:gridCol w:w="354"/>
        <w:gridCol w:w="1673"/>
        <w:gridCol w:w="1673"/>
        <w:gridCol w:w="2108"/>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2108"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4.1</w:t>
            </w:r>
          </w:p>
        </w:tc>
        <w:tc>
          <w:tcPr>
            <w:tcW w:w="4360"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notification</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10/09/2026</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4.2</w:t>
            </w:r>
          </w:p>
        </w:tc>
        <w:tc>
          <w:tcPr>
            <w:tcW w:w="4360" w:type="dxa"/>
            <w:gridSpan w:val="6"/>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*Previous day on which +securities were bought back</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09/09/2026</w:t>
            </w:r>
          </w:p>
        </w:tc>
      </w:tr>
      <w:tr>
        <w:trPr/>
        <w:tc>
          <w:tcPr>
            <w:tcW w:w="3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Before previous day</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On previous day</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4.3</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bought back, or in relation to which acceptances have been received</w:t>
            </w:r>
          </w:p>
        </w:tc>
        <w:tc>
          <w:tcPr>
            <w:tcW w:w="1854" w:type="dxa"/>
            <w:gridSpan w:val="3"/>
            <w:tcBorders>
              <w:top w:val="single" w:sz="4" w:space="0" w:color="000000"/>
              <w:left w:val="single" w:sz="4" w:space="0" w:color="000000"/>
            </w:tcBorders>
            <w:tcMar>
              <w:top w:w="30" w:type="dxa"/>
              <w:left w:w="11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5,473,560</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25,457</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4.4</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consideration paid or payable for the +securities</w:t>
            </w:r>
          </w:p>
        </w:tc>
        <w:tc>
          <w:tcPr>
            <w:tcW w:w="1854" w:type="dxa"/>
            <w:gridSpan w:val="3"/>
            <w:tcBorders>
              <w:top w:val="single" w:sz="4" w:space="0" w:color="000000"/>
              <w:left w:val="single" w:sz="4" w:space="0" w:color="000000"/>
            </w:tcBorders>
            <w:tcMar>
              <w:top w:w="30" w:type="dxa"/>
              <w:left w:w="11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US$161,220,182.00 </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US$841,473.50 </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4.5</w:t>
            </w:r>
          </w:p>
        </w:tc>
        <w:tc>
          <w:tcPr>
            <w:tcW w:w="25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*Highest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US$35.69</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highest price was paid: 27/08/2026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US$33.29</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4.6</w:t>
            </w:r>
          </w:p>
        </w:tc>
        <w:tc>
          <w:tcPr>
            <w:tcW w:w="250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*Lowest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US$25.49</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lowest price was paid: 13/02/2026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US$32.71</w:t>
            </w:r>
          </w:p>
        </w:tc>
      </w:tr>
      <w:tr>
        <w:trPr/>
        <w:tc>
          <w:tcPr>
            <w:tcW w:w="391"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4.8</w:t>
            </w:r>
          </w:p>
        </w:tc>
        <w:tc>
          <w:tcPr>
            <w:tcW w:w="4360" w:type="dxa"/>
            <w:gridSpan w:val="6"/>
            <w:tcBorders>
              <w:left w:val="single" w:sz="4" w:space="0" w:color="000000"/>
              <w:bottom w:val="single" w:sz="4" w:space="0" w:color="000000"/>
            </w:tcBorders>
            <w:tcMar>
              <w:top w:w="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*If the entity has disclosed an intention to buy back a maximum number of +securities, the remaining number of +securities to be bought back as at the end of the previous day</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ASX has calculated this number for you based on previous notifications. If it is not correct, please amend it to the correct number and consider whether any updates need to be made to previous notifications.</w:t>
            </w:r>
          </w:p>
        </w:tc>
        <w:tc>
          <w:tcPr>
            <w:tcW w:w="545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company is authorized to acquire up to an aggregate of US$1 billion of the Company’s Nasdaq-listed Class A common stock and Class B common stock under the 2025 Repurchase Program. To date, the company has purchased approximately US$468,463,939 worth of Class A and Class B shares (based on total consideration paid) under the 2025 Repurchase Program.</w:t>
            </w:r>
          </w:p>
        </w:tc>
      </w:tr>
    </w:tbl>
    <w:p>
      <w:pPr>
        <w:pStyle w:val="TextBody"/>
        <w:bidi w:val="0"/>
        <w:spacing w:before="60" w:after="60"/>
        <w:jc w:val="left"/>
        <w:rPr/>
      </w:pPr>
      <w:r>
        <w:rPr/>
      </w:r>
    </w:p>
    <w:p>
      <w:pPr>
        <w:pStyle w:val="TextBody"/>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Introduced 05/06/21</w:t>
      </w:r>
    </w:p>
    <w:p>
      <w:pPr>
        <w:pStyle w:val="TextBody"/>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756285"/>
                <wp:effectExtent l="0" t="0" r="0" b="0"/>
                <wp:wrapNone/>
                <wp:docPr id="12" name="Frame11"/>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Arial Narrow">
    <w:altName w:val="sans-serif"/>
    <w:charset w:val="01"/>
    <w:family w:val="auto"/>
    <w:pitch w:val="default"/>
  </w:font>
  <w:font w:name="Helvetica">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3521</Words>
  <Characters>18593</Characters>
  <CharactersWithSpaces>21837</CharactersWithSpaces>
  <Paragraphs>428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