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3543.xml.htm"/>
      <w:bookmarkStart w:id="1" w:name="kswkform4_17870835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Delany Julian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50"/>
        <w:gridCol w:w="861"/>
        <w:gridCol w:w="891"/>
        <w:gridCol w:w="771"/>
        <w:gridCol w:w="591"/>
        <w:gridCol w:w="300"/>
        <w:gridCol w:w="771"/>
        <w:gridCol w:w="66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dividend equivalents accrued during the vesting period that are subject to the same time-based vesting conditions as the underlying cash-settled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cash-settled restricted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upon vesting of applicable incentive award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dividend equivalents accrued during the vesting period that are subject to the same time-based vesting conditions as the underlying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stock-settled restricted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Each cash-settled restricted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Each stock-settled restricted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stock-settled restricted stock units were granted as part of the Reporting Person's fiscal 2027 long-term equity incentive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stock-settled restricted stock units will vest in thirds on August 15, 2027, 2028 and 2029, subject to time-based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C. Mertz as Attorney-in-Fact for Julian Delany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719" TargetMode="External"/><Relationship Id="rId5" Type="http://schemas.openxmlformats.org/officeDocument/2006/relationships/hyperlink" Target="http://www.sec.gov/cgi-bin/browse-edgar?action=getcompany&amp;CIK=00015647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929</Words>
  <Characters>4997</Characters>
  <CharactersWithSpaces>5737</CharactersWithSpaces>
  <Paragraphs>217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