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1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1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October 30,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1873885</wp:posOffset>
            </wp:positionH>
            <wp:positionV relativeFrom="paragraph">
              <wp:posOffset>88265</wp:posOffset>
            </wp:positionV>
            <wp:extent cx="3394710" cy="12084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94710" cy="12084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NEWS CORPORATION</w:t>
      </w:r>
    </w:p>
    <w:p>
      <w:pPr>
        <w:spacing w:after="0" w:line="5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240"/>
          </w:cols>
          <w:pgMar w:left="320" w:top="1024" w:right="339" w:bottom="1440" w:gutter="0" w:footer="0" w:header="0"/>
        </w:sectPr>
      </w:pPr>
    </w:p>
    <w:p>
      <w:pPr>
        <w:spacing w:after="0" w:line="174" w:lineRule="exact"/>
        <w:rPr>
          <w:sz w:val="24"/>
          <w:szCs w:val="24"/>
          <w:color w:val="auto"/>
        </w:rPr>
      </w:pPr>
    </w:p>
    <w:p>
      <w:pPr>
        <w:ind w:left="13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7" w:lineRule="exact"/>
        <w:rPr>
          <w:sz w:val="24"/>
          <w:szCs w:val="24"/>
          <w:color w:val="auto"/>
        </w:rPr>
      </w:pPr>
    </w:p>
    <w:p>
      <w:pPr>
        <w:ind w:left="700"/>
        <w:spacing w:after="0"/>
        <w:rPr>
          <w:sz w:val="20"/>
          <w:szCs w:val="20"/>
          <w:color w:val="auto"/>
        </w:rPr>
      </w:pPr>
      <w:r>
        <w:rPr>
          <w:rFonts w:ascii="Times New Roman" w:cs="Times New Roman" w:eastAsia="Times New Roman" w:hAnsi="Times New Roman"/>
          <w:sz w:val="17"/>
          <w:szCs w:val="17"/>
          <w:b w:val="1"/>
          <w:bCs w:val="1"/>
          <w:color w:val="auto"/>
        </w:rPr>
        <w:t>(State or other jurisdiction</w:t>
      </w:r>
    </w:p>
    <w:p>
      <w:pPr>
        <w:ind w:left="1060"/>
        <w:spacing w:after="0"/>
        <w:rPr>
          <w:sz w:val="20"/>
          <w:szCs w:val="20"/>
          <w:color w:val="auto"/>
        </w:rPr>
      </w:pPr>
      <w:r>
        <w:rPr>
          <w:rFonts w:ascii="Times New Roman" w:cs="Times New Roman" w:eastAsia="Times New Roman" w:hAnsi="Times New Roman"/>
          <w:sz w:val="18"/>
          <w:szCs w:val="18"/>
          <w:b w:val="1"/>
          <w:bCs w:val="1"/>
          <w:color w:val="auto"/>
        </w:rPr>
        <w:t>of incorporation)</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8"/>
          <w:szCs w:val="18"/>
          <w:b w:val="1"/>
          <w:bCs w:val="1"/>
          <w:color w:val="auto"/>
        </w:rPr>
        <w:t>001-35769</w:t>
      </w:r>
    </w:p>
    <w:p>
      <w:pPr>
        <w:spacing w:after="0" w:line="27"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7"/>
          <w:szCs w:val="17"/>
          <w:b w:val="1"/>
          <w:bCs w:val="1"/>
          <w:color w:val="auto"/>
        </w:rPr>
        <w:t>(Commission</w:t>
      </w: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File Number)</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jc w:val="center"/>
        <w:ind w:right="1240"/>
        <w:spacing w:after="0"/>
        <w:rPr>
          <w:sz w:val="20"/>
          <w:szCs w:val="20"/>
          <w:color w:val="auto"/>
        </w:rPr>
      </w:pPr>
      <w:r>
        <w:rPr>
          <w:rFonts w:ascii="Times New Roman" w:cs="Times New Roman" w:eastAsia="Times New Roman" w:hAnsi="Times New Roman"/>
          <w:sz w:val="18"/>
          <w:szCs w:val="18"/>
          <w:b w:val="1"/>
          <w:bCs w:val="1"/>
          <w:color w:val="auto"/>
        </w:rPr>
        <w:t>46-2950970</w:t>
      </w:r>
    </w:p>
    <w:p>
      <w:pPr>
        <w:spacing w:after="0" w:line="15" w:lineRule="exact"/>
        <w:rPr>
          <w:sz w:val="24"/>
          <w:szCs w:val="24"/>
          <w:color w:val="auto"/>
        </w:rPr>
      </w:pPr>
    </w:p>
    <w:p>
      <w:pPr>
        <w:jc w:val="center"/>
        <w:ind w:right="1240"/>
        <w:spacing w:after="0"/>
        <w:rPr>
          <w:sz w:val="20"/>
          <w:szCs w:val="20"/>
          <w:color w:val="auto"/>
        </w:rPr>
      </w:pPr>
      <w:r>
        <w:rPr>
          <w:rFonts w:ascii="Times New Roman" w:cs="Times New Roman" w:eastAsia="Times New Roman" w:hAnsi="Times New Roman"/>
          <w:sz w:val="18"/>
          <w:szCs w:val="18"/>
          <w:b w:val="1"/>
          <w:bCs w:val="1"/>
          <w:color w:val="auto"/>
        </w:rPr>
        <w:t>(IRS Employer</w:t>
      </w:r>
    </w:p>
    <w:p>
      <w:pPr>
        <w:jc w:val="center"/>
        <w:ind w:right="1240"/>
        <w:spacing w:after="0"/>
        <w:rPr>
          <w:sz w:val="20"/>
          <w:szCs w:val="20"/>
          <w:color w:val="auto"/>
        </w:rPr>
      </w:pPr>
      <w:r>
        <w:rPr>
          <w:rFonts w:ascii="Times New Roman" w:cs="Times New Roman" w:eastAsia="Times New Roman" w:hAnsi="Times New Roman"/>
          <w:sz w:val="17"/>
          <w:szCs w:val="17"/>
          <w:b w:val="1"/>
          <w:bCs w:val="1"/>
          <w:color w:val="auto"/>
        </w:rPr>
        <w:t>Identification No.)</w:t>
      </w:r>
    </w:p>
    <w:p>
      <w:pPr>
        <w:spacing w:after="0" w:line="211" w:lineRule="exact"/>
        <w:rPr>
          <w:sz w:val="24"/>
          <w:szCs w:val="24"/>
          <w:color w:val="auto"/>
        </w:rPr>
      </w:pPr>
    </w:p>
    <w:p>
      <w:pPr>
        <w:sectPr>
          <w:pgSz w:w="11900" w:h="16838" w:orient="portrait"/>
          <w:cols w:equalWidth="0" w:num="3">
            <w:col w:w="4280" w:space="720"/>
            <w:col w:w="2880" w:space="720"/>
            <w:col w:w="2640"/>
          </w:cols>
          <w:pgMar w:left="320" w:top="1024" w:right="339" w:bottom="1440" w:gutter="0" w:footer="0" w:header="0"/>
          <w:type w:val="continuous"/>
        </w:sectPr>
      </w:pPr>
    </w:p>
    <w:p>
      <w:pPr>
        <w:spacing w:after="0" w:line="69"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7"/>
          <w:szCs w:val="17"/>
          <w:b w:val="1"/>
          <w:bCs w:val="1"/>
          <w:color w:val="auto"/>
        </w:rPr>
        <w:t>1211 Avenue of the Americas, New York, New York 10036</w:t>
      </w:r>
    </w:p>
    <w:p>
      <w:pPr>
        <w:spacing w:after="0" w:line="43" w:lineRule="exact"/>
        <w:rPr>
          <w:sz w:val="24"/>
          <w:szCs w:val="24"/>
          <w:color w:val="auto"/>
        </w:rPr>
      </w:pPr>
    </w:p>
    <w:p>
      <w:pPr>
        <w:ind w:left="3400"/>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 including zip code)</w:t>
      </w:r>
    </w:p>
    <w:p>
      <w:pPr>
        <w:spacing w:after="0" w:line="16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(212) 416-3400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ectPr>
          <w:pgSz w:w="11900" w:h="16838" w:orient="portrait"/>
          <w:cols w:equalWidth="0" w:num="1">
            <w:col w:w="11240"/>
          </w:cols>
          <w:pgMar w:left="320" w:top="1024" w:right="339" w:bottom="1440" w:gutter="0" w:footer="0" w:header="0"/>
          <w:type w:val="continuous"/>
        </w:sectPr>
      </w:pPr>
    </w:p>
    <w:p>
      <w:pPr>
        <w:spacing w:after="0" w:line="166"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81" w:lineRule="exact"/>
        <w:rPr>
          <w:sz w:val="24"/>
          <w:szCs w:val="24"/>
          <w:color w:val="auto"/>
        </w:rPr>
      </w:pPr>
    </w:p>
    <w:p>
      <w:pPr>
        <w:ind w:left="640" w:hanging="614"/>
        <w:spacing w:after="0"/>
        <w:tabs>
          <w:tab w:leader="none" w:pos="64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3" w:lineRule="exact"/>
        <w:rPr>
          <w:rFonts w:ascii="MS PGothic" w:cs="MS PGothic" w:eastAsia="MS PGothic" w:hAnsi="MS PGothic"/>
          <w:sz w:val="20"/>
          <w:szCs w:val="20"/>
          <w:color w:val="auto"/>
        </w:rPr>
      </w:pPr>
    </w:p>
    <w:p>
      <w:pPr>
        <w:ind w:left="640" w:hanging="614"/>
        <w:spacing w:after="0"/>
        <w:tabs>
          <w:tab w:leader="none" w:pos="64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67" w:lineRule="exact"/>
        <w:rPr>
          <w:rFonts w:ascii="MS PGothic" w:cs="MS PGothic" w:eastAsia="MS PGothic" w:hAnsi="MS PGothic"/>
          <w:sz w:val="20"/>
          <w:szCs w:val="20"/>
          <w:color w:val="auto"/>
        </w:rPr>
      </w:pPr>
    </w:p>
    <w:p>
      <w:pPr>
        <w:ind w:left="640" w:hanging="614"/>
        <w:spacing w:after="0"/>
        <w:tabs>
          <w:tab w:leader="none" w:pos="64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67" w:lineRule="exact"/>
        <w:rPr>
          <w:rFonts w:ascii="MS PGothic" w:cs="MS PGothic" w:eastAsia="MS PGothic" w:hAnsi="MS PGothic"/>
          <w:sz w:val="20"/>
          <w:szCs w:val="20"/>
          <w:color w:val="auto"/>
        </w:rPr>
      </w:pPr>
    </w:p>
    <w:p>
      <w:pPr>
        <w:ind w:left="640" w:hanging="614"/>
        <w:spacing w:after="0"/>
        <w:tabs>
          <w:tab w:leader="none" w:pos="64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3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40" w:type="dxa"/>
            <w:vAlign w:val="bottom"/>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2780" w:type="dxa"/>
            <w:vAlign w:val="bottom"/>
            <w:tcBorders>
              <w:bottom w:val="single" w:sz="8" w:color="auto"/>
            </w:tcBorders>
          </w:tcPr>
          <w:p>
            <w:pPr>
              <w:jc w:val="center"/>
              <w:ind w:right="53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20" w:type="dxa"/>
            <w:vAlign w:val="bottom"/>
          </w:tcPr>
          <w:p>
            <w:pPr>
              <w:spacing w:after="0"/>
              <w:rPr>
                <w:sz w:val="22"/>
                <w:szCs w:val="22"/>
                <w:color w:val="auto"/>
              </w:rPr>
            </w:pPr>
          </w:p>
        </w:tc>
        <w:tc>
          <w:tcPr>
            <w:tcW w:w="3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c>
          <w:tcPr>
            <w:tcW w:w="0" w:type="dxa"/>
            <w:vAlign w:val="bottom"/>
          </w:tcPr>
          <w:p>
            <w:pPr>
              <w:spacing w:after="0"/>
              <w:rPr>
                <w:sz w:val="1"/>
                <w:szCs w:val="1"/>
                <w:color w:val="auto"/>
              </w:rPr>
            </w:pPr>
          </w:p>
        </w:tc>
      </w:tr>
      <w:tr>
        <w:trPr>
          <w:trHeight w:val="184"/>
        </w:trPr>
        <w:tc>
          <w:tcPr>
            <w:tcW w:w="358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Class A Common Stock, par value $0.01 per</w:t>
            </w:r>
          </w:p>
        </w:tc>
        <w:tc>
          <w:tcPr>
            <w:tcW w:w="3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100" w:type="dxa"/>
            <w:vAlign w:val="bottom"/>
            <w:gridSpan w:val="2"/>
            <w:vMerge w:val="restart"/>
          </w:tcPr>
          <w:p>
            <w:pPr>
              <w:jc w:val="center"/>
              <w:ind w:right="940"/>
              <w:spacing w:after="0"/>
              <w:rPr>
                <w:sz w:val="20"/>
                <w:szCs w:val="20"/>
                <w:color w:val="auto"/>
              </w:rPr>
            </w:pPr>
            <w:r>
              <w:rPr>
                <w:rFonts w:ascii="Times New Roman" w:cs="Times New Roman" w:eastAsia="Times New Roman" w:hAnsi="Times New Roman"/>
                <w:sz w:val="18"/>
                <w:szCs w:val="18"/>
                <w:color w:val="auto"/>
                <w:w w:val="98"/>
              </w:rPr>
              <w:t>NWSA</w:t>
            </w:r>
          </w:p>
        </w:tc>
        <w:tc>
          <w:tcPr>
            <w:tcW w:w="34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c>
          <w:tcPr>
            <w:tcW w:w="0" w:type="dxa"/>
            <w:vAlign w:val="bottom"/>
          </w:tcPr>
          <w:p>
            <w:pPr>
              <w:spacing w:after="0"/>
              <w:rPr>
                <w:sz w:val="1"/>
                <w:szCs w:val="1"/>
                <w:color w:val="auto"/>
              </w:rPr>
            </w:pPr>
          </w:p>
        </w:tc>
      </w:tr>
      <w:tr>
        <w:trPr>
          <w:trHeight w:val="140"/>
        </w:trPr>
        <w:tc>
          <w:tcPr>
            <w:tcW w:w="4540" w:type="dxa"/>
            <w:vAlign w:val="bottom"/>
            <w:gridSpan w:val="3"/>
            <w:vMerge w:val="restart"/>
          </w:tcPr>
          <w:p>
            <w:pPr>
              <w:jc w:val="center"/>
              <w:ind w:right="960"/>
              <w:spacing w:after="0"/>
              <w:rPr>
                <w:sz w:val="20"/>
                <w:szCs w:val="20"/>
                <w:color w:val="auto"/>
              </w:rPr>
            </w:pPr>
            <w:r>
              <w:rPr>
                <w:rFonts w:ascii="Times New Roman" w:cs="Times New Roman" w:eastAsia="Times New Roman" w:hAnsi="Times New Roman"/>
                <w:sz w:val="18"/>
                <w:szCs w:val="18"/>
                <w:color w:val="auto"/>
                <w:w w:val="99"/>
              </w:rPr>
              <w:t>share</w:t>
            </w:r>
          </w:p>
        </w:tc>
        <w:tc>
          <w:tcPr>
            <w:tcW w:w="3100" w:type="dxa"/>
            <w:vAlign w:val="bottom"/>
            <w:gridSpan w:val="2"/>
            <w:vMerge w:val="continue"/>
          </w:tcPr>
          <w:p>
            <w:pPr>
              <w:spacing w:after="0"/>
              <w:rPr>
                <w:sz w:val="12"/>
                <w:szCs w:val="12"/>
                <w:color w:val="auto"/>
              </w:rPr>
            </w:pPr>
          </w:p>
        </w:tc>
        <w:tc>
          <w:tcPr>
            <w:tcW w:w="3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4540" w:type="dxa"/>
            <w:vAlign w:val="bottom"/>
            <w:gridSpan w:val="3"/>
            <w:vMerge w:val="continue"/>
          </w:tcPr>
          <w:p>
            <w:pPr>
              <w:spacing w:after="0"/>
              <w:rPr>
                <w:sz w:val="7"/>
                <w:szCs w:val="7"/>
                <w:color w:val="auto"/>
              </w:rPr>
            </w:pPr>
          </w:p>
        </w:tc>
        <w:tc>
          <w:tcPr>
            <w:tcW w:w="2780" w:type="dxa"/>
            <w:vAlign w:val="bottom"/>
          </w:tcPr>
          <w:p>
            <w:pPr>
              <w:spacing w:after="0"/>
              <w:rPr>
                <w:sz w:val="7"/>
                <w:szCs w:val="7"/>
                <w:color w:val="auto"/>
              </w:rPr>
            </w:pPr>
          </w:p>
        </w:tc>
        <w:tc>
          <w:tcPr>
            <w:tcW w:w="320" w:type="dxa"/>
            <w:vAlign w:val="bottom"/>
          </w:tcPr>
          <w:p>
            <w:pPr>
              <w:spacing w:after="0"/>
              <w:rPr>
                <w:sz w:val="7"/>
                <w:szCs w:val="7"/>
                <w:color w:val="auto"/>
              </w:rPr>
            </w:pPr>
          </w:p>
        </w:tc>
        <w:tc>
          <w:tcPr>
            <w:tcW w:w="34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4540" w:type="dxa"/>
            <w:vAlign w:val="bottom"/>
            <w:gridSpan w:val="3"/>
          </w:tcPr>
          <w:p>
            <w:pPr>
              <w:jc w:val="center"/>
              <w:ind w:right="940"/>
              <w:spacing w:after="0" w:line="189" w:lineRule="exact"/>
              <w:rPr>
                <w:sz w:val="20"/>
                <w:szCs w:val="20"/>
                <w:color w:val="auto"/>
              </w:rPr>
            </w:pPr>
            <w:r>
              <w:rPr>
                <w:rFonts w:ascii="Times New Roman" w:cs="Times New Roman" w:eastAsia="Times New Roman" w:hAnsi="Times New Roman"/>
                <w:sz w:val="18"/>
                <w:szCs w:val="18"/>
                <w:color w:val="auto"/>
                <w:w w:val="99"/>
              </w:rPr>
              <w:t>Class B Common Stock, par value $0.01 per</w:t>
            </w:r>
          </w:p>
        </w:tc>
        <w:tc>
          <w:tcPr>
            <w:tcW w:w="3100" w:type="dxa"/>
            <w:vAlign w:val="bottom"/>
            <w:gridSpan w:val="2"/>
            <w:vMerge w:val="restart"/>
          </w:tcPr>
          <w:p>
            <w:pPr>
              <w:jc w:val="center"/>
              <w:ind w:right="940"/>
              <w:spacing w:after="0"/>
              <w:rPr>
                <w:sz w:val="20"/>
                <w:szCs w:val="20"/>
                <w:color w:val="auto"/>
              </w:rPr>
            </w:pPr>
            <w:r>
              <w:rPr>
                <w:rFonts w:ascii="Times New Roman" w:cs="Times New Roman" w:eastAsia="Times New Roman" w:hAnsi="Times New Roman"/>
                <w:sz w:val="18"/>
                <w:szCs w:val="18"/>
                <w:color w:val="auto"/>
                <w:w w:val="99"/>
              </w:rPr>
              <w:t>NWS</w:t>
            </w:r>
          </w:p>
        </w:tc>
        <w:tc>
          <w:tcPr>
            <w:tcW w:w="34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c>
          <w:tcPr>
            <w:tcW w:w="0" w:type="dxa"/>
            <w:vAlign w:val="bottom"/>
          </w:tcPr>
          <w:p>
            <w:pPr>
              <w:spacing w:after="0"/>
              <w:rPr>
                <w:sz w:val="1"/>
                <w:szCs w:val="1"/>
                <w:color w:val="auto"/>
              </w:rPr>
            </w:pPr>
          </w:p>
        </w:tc>
      </w:tr>
      <w:tr>
        <w:trPr>
          <w:trHeight w:val="140"/>
        </w:trPr>
        <w:tc>
          <w:tcPr>
            <w:tcW w:w="4540" w:type="dxa"/>
            <w:vAlign w:val="bottom"/>
            <w:gridSpan w:val="3"/>
            <w:vMerge w:val="restart"/>
          </w:tcPr>
          <w:p>
            <w:pPr>
              <w:jc w:val="center"/>
              <w:ind w:right="960"/>
              <w:spacing w:after="0"/>
              <w:rPr>
                <w:sz w:val="20"/>
                <w:szCs w:val="20"/>
                <w:color w:val="auto"/>
              </w:rPr>
            </w:pPr>
            <w:r>
              <w:rPr>
                <w:rFonts w:ascii="Times New Roman" w:cs="Times New Roman" w:eastAsia="Times New Roman" w:hAnsi="Times New Roman"/>
                <w:sz w:val="18"/>
                <w:szCs w:val="18"/>
                <w:color w:val="auto"/>
                <w:w w:val="99"/>
              </w:rPr>
              <w:t>share</w:t>
            </w:r>
          </w:p>
        </w:tc>
        <w:tc>
          <w:tcPr>
            <w:tcW w:w="3100" w:type="dxa"/>
            <w:vAlign w:val="bottom"/>
            <w:gridSpan w:val="2"/>
            <w:vMerge w:val="continue"/>
          </w:tcPr>
          <w:p>
            <w:pPr>
              <w:spacing w:after="0"/>
              <w:rPr>
                <w:sz w:val="12"/>
                <w:szCs w:val="12"/>
                <w:color w:val="auto"/>
              </w:rPr>
            </w:pPr>
          </w:p>
        </w:tc>
        <w:tc>
          <w:tcPr>
            <w:tcW w:w="3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4540" w:type="dxa"/>
            <w:vAlign w:val="bottom"/>
            <w:gridSpan w:val="3"/>
            <w:vMerge w:val="continue"/>
          </w:tcPr>
          <w:p>
            <w:pPr>
              <w:spacing w:after="0"/>
              <w:rPr>
                <w:sz w:val="8"/>
                <w:szCs w:val="8"/>
                <w:color w:val="auto"/>
              </w:rPr>
            </w:pPr>
          </w:p>
        </w:tc>
        <w:tc>
          <w:tcPr>
            <w:tcW w:w="27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76" w:lineRule="exact"/>
        <w:rPr>
          <w:sz w:val="24"/>
          <w:szCs w:val="24"/>
          <w:color w:val="auto"/>
        </w:rPr>
      </w:pPr>
    </w:p>
    <w:p>
      <w:pPr>
        <w:ind w:right="520"/>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6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3"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553085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4" w:right="339" w:bottom="1440" w:gutter="0" w:footer="0" w:header="0"/>
          <w:type w:val="continuous"/>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8.01</w:t>
        <w:tab/>
        <w:t>Other Events.</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As previously reported, under News Corporation's (the "Company's") stock repurchase program (the "Repurchase Program"), the Company is authorized to acquire from time to time up to $1 billion in the aggregate of the Company's outstanding shares of Class A common stock and Class B common stock. Under the rules of the Australian Securities Exchange (the "ASX"), the Company is required to provide to the ASX, on a daily basis, disclosure of transactions pursuant to the Repurchase Program, if any. The Company also discloses information concerning the Repurchase Program in the Company's quarterly and annual reports.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Attached as Exhibit 99.1 and Exhibit 99.2 are copies of the information provided to the ASX on the respective dates noted therein. Such information</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 xml:space="preserve">contains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31F20"/>
        </w:rPr>
        <w:t>forward-looking statements</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31F20"/>
        </w:rPr>
        <w:t xml:space="preserve"> within the meaning of the Private Securities Litigation Reform Act of 1995. These forward-looking statements</w:t>
      </w:r>
    </w:p>
    <w:p>
      <w:pPr>
        <w:spacing w:after="0" w:line="234" w:lineRule="auto"/>
        <w:rPr>
          <w:sz w:val="20"/>
          <w:szCs w:val="20"/>
          <w:color w:val="auto"/>
        </w:rPr>
      </w:pPr>
      <w:r>
        <w:rPr>
          <w:rFonts w:ascii="Times New Roman" w:cs="Times New Roman" w:eastAsia="Times New Roman" w:hAnsi="Times New Roman"/>
          <w:sz w:val="18"/>
          <w:szCs w:val="18"/>
          <w:color w:val="231F20"/>
        </w:rPr>
        <w:t>include, but are not limited to, statements regarding the Company's intent to repurchase, from time to time, the Company's Class A common stock and</w:t>
      </w:r>
    </w:p>
    <w:p>
      <w:pPr>
        <w:spacing w:after="0" w:line="235" w:lineRule="auto"/>
        <w:rPr>
          <w:sz w:val="20"/>
          <w:szCs w:val="20"/>
          <w:color w:val="auto"/>
        </w:rPr>
      </w:pPr>
      <w:r>
        <w:rPr>
          <w:rFonts w:ascii="Times New Roman" w:cs="Times New Roman" w:eastAsia="Times New Roman" w:hAnsi="Times New Roman"/>
          <w:sz w:val="18"/>
          <w:szCs w:val="18"/>
          <w:color w:val="231F20"/>
        </w:rPr>
        <w:t>Class B common stock. These statements are based on management's current expectations and beliefs and are subject to uncertainty and changes in</w:t>
      </w:r>
    </w:p>
    <w:p>
      <w:pPr>
        <w:spacing w:after="0" w:line="235" w:lineRule="auto"/>
        <w:rPr>
          <w:sz w:val="20"/>
          <w:szCs w:val="20"/>
          <w:color w:val="auto"/>
        </w:rPr>
      </w:pPr>
      <w:r>
        <w:rPr>
          <w:rFonts w:ascii="Times New Roman" w:cs="Times New Roman" w:eastAsia="Times New Roman" w:hAnsi="Times New Roman"/>
          <w:sz w:val="18"/>
          <w:szCs w:val="18"/>
          <w:color w:val="231F20"/>
        </w:rPr>
        <w:t>circumstances. Actual results may vary materially from those expressed or implied by such statements due to, among other factors, changes in the market</w:t>
      </w:r>
    </w:p>
    <w:p>
      <w:pPr>
        <w:spacing w:after="0" w:line="235" w:lineRule="auto"/>
        <w:rPr>
          <w:sz w:val="20"/>
          <w:szCs w:val="20"/>
          <w:color w:val="auto"/>
        </w:rPr>
      </w:pPr>
      <w:r>
        <w:rPr>
          <w:rFonts w:ascii="Times New Roman" w:cs="Times New Roman" w:eastAsia="Times New Roman" w:hAnsi="Times New Roman"/>
          <w:sz w:val="18"/>
          <w:szCs w:val="18"/>
          <w:color w:val="231F20"/>
        </w:rPr>
        <w:t>price of the Company's stock, general market conditions, applicable securities laws and alternative investment opportunities, as well as the risks,</w:t>
      </w:r>
    </w:p>
    <w:p>
      <w:pPr>
        <w:spacing w:after="0" w:line="219" w:lineRule="auto"/>
        <w:rPr>
          <w:sz w:val="20"/>
          <w:szCs w:val="20"/>
          <w:color w:val="auto"/>
        </w:rPr>
      </w:pPr>
      <w:r>
        <w:rPr>
          <w:rFonts w:ascii="Times New Roman" w:cs="Times New Roman" w:eastAsia="Times New Roman" w:hAnsi="Times New Roman"/>
          <w:sz w:val="18"/>
          <w:szCs w:val="18"/>
          <w:color w:val="231F20"/>
        </w:rPr>
        <w:t xml:space="preserve">uncertainties and other factors described in the Company's filings with the Securities and Exchange Commission. The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31F20"/>
        </w:rPr>
        <w:t>forward-looking statements</w:t>
      </w:r>
      <w:r>
        <w:rPr>
          <w:rFonts w:ascii="Times New Roman" w:cs="Times New Roman" w:eastAsia="Times New Roman" w:hAnsi="Times New Roman"/>
          <w:sz w:val="18"/>
          <w:szCs w:val="18"/>
          <w:color w:val="000000"/>
        </w:rPr>
        <w:t>"</w:t>
      </w:r>
    </w:p>
    <w:p>
      <w:pPr>
        <w:spacing w:after="0" w:line="235" w:lineRule="auto"/>
        <w:rPr>
          <w:sz w:val="20"/>
          <w:szCs w:val="20"/>
          <w:color w:val="auto"/>
        </w:rPr>
      </w:pPr>
      <w:r>
        <w:rPr>
          <w:rFonts w:ascii="Times New Roman" w:cs="Times New Roman" w:eastAsia="Times New Roman" w:hAnsi="Times New Roman"/>
          <w:sz w:val="18"/>
          <w:szCs w:val="18"/>
          <w:color w:val="231F20"/>
        </w:rPr>
        <w:t>included in such information are made only as of the date of this report. We do not have and do not undertake any obligation to publicly update any</w:t>
      </w:r>
    </w:p>
    <w:p>
      <w:pPr>
        <w:spacing w:after="0" w:line="23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231F20"/>
        </w:rPr>
        <w:t>forward-looking statements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to reflect subsequent events or circumstances, and we expressly disclaim any such obligation, except as required by law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regulation.</w:t>
      </w:r>
    </w:p>
    <w:p>
      <w:pPr>
        <w:spacing w:after="0" w:line="200" w:lineRule="exact"/>
        <w:rPr>
          <w:sz w:val="20"/>
          <w:szCs w:val="20"/>
          <w:color w:val="auto"/>
        </w:rPr>
      </w:pPr>
    </w:p>
    <w:p>
      <w:pPr>
        <w:spacing w:after="0" w:line="27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 Exhibits.</w:t>
            </w:r>
          </w:p>
        </w:tc>
        <w:tc>
          <w:tcPr>
            <w:tcW w:w="100" w:type="dxa"/>
            <w:vAlign w:val="bottom"/>
          </w:tcPr>
          <w:p>
            <w:pPr>
              <w:spacing w:after="0"/>
              <w:rPr>
                <w:sz w:val="20"/>
                <w:szCs w:val="20"/>
                <w:color w:val="auto"/>
              </w:rPr>
            </w:pPr>
          </w:p>
        </w:tc>
        <w:tc>
          <w:tcPr>
            <w:tcW w:w="6780" w:type="dxa"/>
            <w:vAlign w:val="bottom"/>
          </w:tcPr>
          <w:p>
            <w:pPr>
              <w:spacing w:after="0"/>
              <w:rPr>
                <w:sz w:val="20"/>
                <w:szCs w:val="20"/>
                <w:color w:val="auto"/>
              </w:rPr>
            </w:pPr>
          </w:p>
        </w:tc>
        <w:tc>
          <w:tcPr>
            <w:tcW w:w="2120" w:type="dxa"/>
            <w:vAlign w:val="bottom"/>
          </w:tcPr>
          <w:p>
            <w:pPr>
              <w:spacing w:after="0"/>
              <w:rPr>
                <w:sz w:val="20"/>
                <w:szCs w:val="20"/>
                <w:color w:val="auto"/>
              </w:rPr>
            </w:pPr>
          </w:p>
        </w:tc>
      </w:tr>
      <w:tr>
        <w:trPr>
          <w:trHeight w:val="499"/>
        </w:trPr>
        <w:tc>
          <w:tcPr>
            <w:tcW w:w="2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0" w:type="dxa"/>
            <w:vAlign w:val="bottom"/>
          </w:tcPr>
          <w:p>
            <w:pPr>
              <w:spacing w:after="0"/>
              <w:rPr>
                <w:sz w:val="24"/>
                <w:szCs w:val="24"/>
                <w:color w:val="auto"/>
              </w:rPr>
            </w:pPr>
          </w:p>
        </w:tc>
        <w:tc>
          <w:tcPr>
            <w:tcW w:w="8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224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14"/>
                <w:szCs w:val="14"/>
                <w:color w:val="auto"/>
              </w:rPr>
            </w:pPr>
          </w:p>
        </w:tc>
        <w:tc>
          <w:tcPr>
            <w:tcW w:w="8900" w:type="dxa"/>
            <w:vAlign w:val="bottom"/>
            <w:gridSpan w:val="2"/>
          </w:tcPr>
          <w:p>
            <w:pPr>
              <w:spacing w:after="0" w:line="149" w:lineRule="exact"/>
              <w:rPr>
                <w:sz w:val="20"/>
                <w:szCs w:val="20"/>
                <w:color w:val="auto"/>
              </w:rPr>
            </w:pPr>
            <w:r>
              <w:rPr>
                <w:rFonts w:ascii="Times New Roman" w:cs="Times New Roman" w:eastAsia="Times New Roman" w:hAnsi="Times New Roman"/>
                <w:sz w:val="17"/>
                <w:szCs w:val="17"/>
                <w:color w:val="0000FF"/>
              </w:rPr>
              <w:t>Information provided to the Australian Securities Exchange on the date noted on Exhibit 99.1.</w:t>
            </w:r>
          </w:p>
        </w:tc>
      </w:tr>
      <w:tr>
        <w:trPr>
          <w:trHeight w:val="20"/>
        </w:trPr>
        <w:tc>
          <w:tcPr>
            <w:tcW w:w="2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780" w:type="dxa"/>
            <w:vAlign w:val="bottom"/>
            <w:shd w:val="clear" w:color="auto" w:fill="0000FF"/>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223"/>
        </w:trPr>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99.2</w:t>
            </w:r>
          </w:p>
        </w:tc>
        <w:tc>
          <w:tcPr>
            <w:tcW w:w="100" w:type="dxa"/>
            <w:vAlign w:val="bottom"/>
          </w:tcPr>
          <w:p>
            <w:pPr>
              <w:spacing w:after="0"/>
              <w:rPr>
                <w:sz w:val="19"/>
                <w:szCs w:val="19"/>
                <w:color w:val="auto"/>
              </w:rPr>
            </w:pPr>
          </w:p>
        </w:tc>
        <w:tc>
          <w:tcPr>
            <w:tcW w:w="89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Information provided to the Australian Securities Exchange on the date noted on Exhibit 99.2.</w:t>
            </w:r>
          </w:p>
        </w:tc>
      </w:tr>
      <w:tr>
        <w:trPr>
          <w:trHeight w:val="250"/>
        </w:trPr>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1"/>
                <w:szCs w:val="21"/>
                <w:color w:val="auto"/>
              </w:rPr>
            </w:pPr>
          </w:p>
        </w:tc>
        <w:tc>
          <w:tcPr>
            <w:tcW w:w="678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2120" w:type="dxa"/>
            <w:vAlign w:val="bottom"/>
          </w:tcPr>
          <w:p>
            <w:pPr>
              <w:spacing w:after="0"/>
              <w:rPr>
                <w:sz w:val="21"/>
                <w:szCs w:val="21"/>
                <w:color w:val="auto"/>
              </w:rPr>
            </w:pPr>
          </w:p>
        </w:tc>
      </w:tr>
      <w:tr>
        <w:trPr>
          <w:trHeight w:val="979"/>
        </w:trPr>
        <w:tc>
          <w:tcPr>
            <w:tcW w:w="2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78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220"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60"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8"/>
          <w:szCs w:val="18"/>
          <w:b w:val="1"/>
          <w:bCs w:val="1"/>
          <w:color w:val="auto"/>
        </w:rPr>
        <w:t>NEWS CORPORATION</w:t>
      </w:r>
    </w:p>
    <w:p>
      <w:pPr>
        <w:spacing w:after="0" w:line="6"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8"/>
          <w:szCs w:val="18"/>
          <w:b w:val="1"/>
          <w:bCs w:val="1"/>
          <w:color w:val="auto"/>
        </w:rPr>
        <w:t>(REGISTRANT)</w:t>
      </w:r>
    </w:p>
    <w:p>
      <w:pPr>
        <w:spacing w:after="0" w:line="111" w:lineRule="exact"/>
        <w:rPr>
          <w:sz w:val="20"/>
          <w:szCs w:val="20"/>
          <w:color w:val="auto"/>
        </w:rPr>
      </w:pPr>
    </w:p>
    <w:p>
      <w:pPr>
        <w:ind w:left="638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L. Bunder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4385310</wp:posOffset>
            </wp:positionH>
            <wp:positionV relativeFrom="paragraph">
              <wp:posOffset>17145</wp:posOffset>
            </wp:positionV>
            <wp:extent cx="272605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726055" cy="17145"/>
                    </a:xfrm>
                    <a:prstGeom prst="rect">
                      <a:avLst/>
                    </a:prstGeom>
                    <a:noFill/>
                  </pic:spPr>
                </pic:pic>
              </a:graphicData>
            </a:graphic>
          </wp:anchor>
        </w:drawing>
      </w:r>
    </w:p>
    <w:p>
      <w:pPr>
        <w:spacing w:after="0" w:line="30"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Michael L. Bunder</w:t>
      </w:r>
    </w:p>
    <w:p>
      <w:pPr>
        <w:spacing w:after="0" w:line="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Senior Vice President, Deputy General Counsel and</w:t>
      </w:r>
    </w:p>
    <w:p>
      <w:pPr>
        <w:ind w:left="7200"/>
        <w:spacing w:after="0"/>
        <w:rPr>
          <w:sz w:val="20"/>
          <w:szCs w:val="20"/>
          <w:color w:val="auto"/>
        </w:rPr>
      </w:pPr>
      <w:r>
        <w:rPr>
          <w:rFonts w:ascii="Times New Roman" w:cs="Times New Roman" w:eastAsia="Times New Roman" w:hAnsi="Times New Roman"/>
          <w:sz w:val="18"/>
          <w:szCs w:val="18"/>
          <w:color w:val="auto"/>
        </w:rPr>
        <w:t>Corporate Secretary</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2, 2026</w:t>
      </w:r>
    </w:p>
    <w:p>
      <w:pPr>
        <w:sectPr>
          <w:pgSz w:w="11900" w:h="16838" w:orient="portrait"/>
          <w:cols w:equalWidth="0" w:num="1">
            <w:col w:w="10940"/>
          </w:cols>
          <w:pgMar w:left="320" w:top="887" w:right="639" w:bottom="1440" w:gutter="0" w:footer="0" w:header="0"/>
        </w:sectPr>
      </w:pPr>
    </w:p>
    <w:bookmarkStart w:id="3" w:name="page4"/>
    <w:bookmarkEnd w:id="3"/>
    <w:p>
      <w:pPr>
        <w:ind w:left="80"/>
        <w:spacing w:after="0"/>
        <w:rPr>
          <w:sz w:val="20"/>
          <w:szCs w:val="20"/>
          <w:color w:val="auto"/>
        </w:rPr>
      </w:pPr>
      <w:r>
        <w:rPr>
          <w:rFonts w:ascii="Arial" w:cs="Arial" w:eastAsia="Arial" w:hAnsi="Arial"/>
          <w:sz w:val="18"/>
          <w:szCs w:val="18"/>
          <w:i w:val="1"/>
          <w:iCs w:val="1"/>
          <w:color w:val="auto"/>
        </w:rPr>
        <w:t>+Rule 3.8A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20"/>
        <w:spacing w:after="0"/>
        <w:rPr>
          <w:sz w:val="20"/>
          <w:szCs w:val="20"/>
          <w:color w:val="auto"/>
        </w:rPr>
      </w:pPr>
      <w:r>
        <w:rPr>
          <w:rFonts w:ascii="Arial" w:cs="Arial" w:eastAsia="Arial" w:hAnsi="Arial"/>
          <w:sz w:val="29"/>
          <w:szCs w:val="29"/>
          <w:b w:val="1"/>
          <w:bCs w:val="1"/>
          <w:color w:val="auto"/>
        </w:rPr>
        <w:t>Appendix 3C</w:t>
      </w:r>
    </w:p>
    <w:p>
      <w:pPr>
        <w:spacing w:after="0" w:line="34" w:lineRule="exact"/>
        <w:rPr>
          <w:sz w:val="20"/>
          <w:szCs w:val="20"/>
          <w:color w:val="auto"/>
        </w:rPr>
      </w:pPr>
    </w:p>
    <w:p>
      <w:pPr>
        <w:jc w:val="center"/>
        <w:ind w:right="20"/>
        <w:spacing w:after="0"/>
        <w:rPr>
          <w:sz w:val="20"/>
          <w:szCs w:val="20"/>
          <w:color w:val="auto"/>
        </w:rPr>
      </w:pPr>
      <w:r>
        <w:rPr>
          <w:rFonts w:ascii="Arial" w:cs="Arial" w:eastAsia="Arial" w:hAnsi="Arial"/>
          <w:sz w:val="29"/>
          <w:szCs w:val="29"/>
          <w:b w:val="1"/>
          <w:bCs w:val="1"/>
          <w:color w:val="auto"/>
        </w:rPr>
        <w:t>Notification of buy-back</w:t>
      </w:r>
    </w:p>
    <w:p>
      <w:pPr>
        <w:spacing w:after="0" w:line="33" w:lineRule="exact"/>
        <w:rPr>
          <w:sz w:val="20"/>
          <w:szCs w:val="20"/>
          <w:color w:val="auto"/>
        </w:rPr>
      </w:pPr>
    </w:p>
    <w:p>
      <w:pPr>
        <w:ind w:right="240"/>
        <w:spacing w:after="0" w:line="230" w:lineRule="auto"/>
        <w:rPr>
          <w:sz w:val="20"/>
          <w:szCs w:val="20"/>
          <w:color w:val="auto"/>
        </w:rPr>
      </w:pPr>
      <w:r>
        <w:rPr>
          <w:rFonts w:ascii="Arial" w:cs="Arial" w:eastAsia="Arial" w:hAnsi="Arial"/>
          <w:sz w:val="18"/>
          <w:szCs w:val="18"/>
          <w:i w:val="1"/>
          <w:iCs w:val="1"/>
          <w:color w:val="auto"/>
        </w:rPr>
        <w:t>Information or documents not available now must be given to ASX as soon as available. Information and documents given to ASX become ASX’s property and may be made public.</w:t>
      </w:r>
    </w:p>
    <w:p>
      <w:pPr>
        <w:spacing w:after="0" w:line="1" w:lineRule="exact"/>
        <w:rPr>
          <w:sz w:val="20"/>
          <w:szCs w:val="20"/>
          <w:color w:val="auto"/>
        </w:rPr>
      </w:pPr>
    </w:p>
    <w:p>
      <w:pPr>
        <w:ind w:right="180"/>
        <w:spacing w:after="0" w:line="245" w:lineRule="auto"/>
        <w:rPr>
          <w:sz w:val="20"/>
          <w:szCs w:val="20"/>
          <w:color w:val="auto"/>
        </w:rPr>
      </w:pPr>
      <w:r>
        <w:rPr>
          <w:rFonts w:ascii="Arial" w:cs="Arial" w:eastAsia="Arial" w:hAnsi="Arial"/>
          <w:sz w:val="18"/>
          <w:szCs w:val="18"/>
          <w:i w:val="1"/>
          <w:iCs w:val="1"/>
          <w:color w:val="auto"/>
        </w:rPr>
        <w:t>*Denotes minimum information required for first lodgement of this form, with exceptions provided in specific notes for certain questions. The balance of the information, where applicable, must be provided as soon as reasonably practicable by the entity.</w:t>
      </w:r>
    </w:p>
    <w:p>
      <w:pPr>
        <w:spacing w:after="0" w:line="23" w:lineRule="exact"/>
        <w:rPr>
          <w:sz w:val="20"/>
          <w:szCs w:val="20"/>
          <w:color w:val="auto"/>
        </w:rPr>
      </w:pPr>
    </w:p>
    <w:p>
      <w:pPr>
        <w:spacing w:after="0"/>
        <w:rPr>
          <w:sz w:val="20"/>
          <w:szCs w:val="20"/>
          <w:color w:val="auto"/>
        </w:rPr>
      </w:pPr>
      <w:r>
        <w:rPr>
          <w:rFonts w:ascii="Arial" w:cs="Arial" w:eastAsia="Arial" w:hAnsi="Arial"/>
          <w:sz w:val="25"/>
          <w:szCs w:val="25"/>
          <w:color w:val="auto"/>
        </w:rPr>
        <w:t>Part 1 – Entity and announcement details</w:t>
      </w:r>
    </w:p>
    <w:p>
      <w:pPr>
        <w:spacing w:after="0" w:line="134"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1140" w:type="dxa"/>
            <w:vAlign w:val="bottom"/>
            <w:tcBorders>
              <w:top w:val="single" w:sz="8" w:color="auto"/>
              <w:left w:val="single" w:sz="8" w:color="auto"/>
              <w:bottom w:val="single" w:sz="8" w:color="auto"/>
            </w:tcBorders>
          </w:tcPr>
          <w:p>
            <w:pPr>
              <w:ind w:left="80"/>
              <w:spacing w:after="0"/>
              <w:rPr>
                <w:sz w:val="20"/>
                <w:szCs w:val="20"/>
                <w:color w:val="auto"/>
              </w:rPr>
            </w:pPr>
            <w:r>
              <w:rPr>
                <w:rFonts w:ascii="Arial" w:cs="Arial" w:eastAsia="Arial" w:hAnsi="Arial"/>
                <w:sz w:val="16"/>
                <w:szCs w:val="16"/>
                <w:b w:val="1"/>
                <w:bCs w:val="1"/>
                <w:color w:val="auto"/>
              </w:rPr>
              <w:t>Question no</w:t>
            </w:r>
          </w:p>
        </w:tc>
        <w:tc>
          <w:tcPr>
            <w:tcW w:w="140" w:type="dxa"/>
            <w:vAlign w:val="bottom"/>
            <w:tcBorders>
              <w:top w:val="single" w:sz="8" w:color="auto"/>
              <w:bottom w:val="single" w:sz="8" w:color="auto"/>
              <w:right w:val="single" w:sz="8" w:color="auto"/>
            </w:tcBorders>
          </w:tcPr>
          <w:p>
            <w:pPr>
              <w:spacing w:after="0"/>
              <w:rPr>
                <w:sz w:val="21"/>
                <w:szCs w:val="21"/>
                <w:color w:val="auto"/>
              </w:rPr>
            </w:pPr>
          </w:p>
        </w:tc>
        <w:tc>
          <w:tcPr>
            <w:tcW w:w="612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Question</w:t>
            </w:r>
          </w:p>
        </w:tc>
        <w:tc>
          <w:tcPr>
            <w:tcW w:w="386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Answer</w:t>
            </w:r>
          </w:p>
        </w:tc>
      </w:tr>
      <w:tr>
        <w:trPr>
          <w:trHeight w:val="281"/>
        </w:trPr>
        <w:tc>
          <w:tcPr>
            <w:tcW w:w="114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1.1</w:t>
            </w:r>
          </w:p>
        </w:tc>
        <w:tc>
          <w:tcPr>
            <w:tcW w:w="140" w:type="dxa"/>
            <w:vAlign w:val="bottom"/>
            <w:tcBorders>
              <w:right w:val="single" w:sz="8" w:color="auto"/>
            </w:tcBorders>
          </w:tcPr>
          <w:p>
            <w:pPr>
              <w:spacing w:after="0"/>
              <w:rPr>
                <w:sz w:val="24"/>
                <w:szCs w:val="24"/>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*Name of entity</w:t>
            </w:r>
          </w:p>
        </w:tc>
        <w:tc>
          <w:tcPr>
            <w:tcW w:w="38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NEWS CORPORATION</w:t>
            </w:r>
          </w:p>
        </w:tc>
      </w:tr>
      <w:tr>
        <w:trPr>
          <w:trHeight w:val="190"/>
        </w:trPr>
        <w:tc>
          <w:tcPr>
            <w:tcW w:w="1140" w:type="dxa"/>
            <w:vAlign w:val="bottom"/>
            <w:tcBorders>
              <w:left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We (the entity named above) provide the following information about our buy-back</w:t>
            </w:r>
          </w:p>
        </w:tc>
        <w:tc>
          <w:tcPr>
            <w:tcW w:w="3860" w:type="dxa"/>
            <w:vAlign w:val="bottom"/>
            <w:tcBorders>
              <w:right w:val="single" w:sz="8" w:color="auto"/>
            </w:tcBorders>
          </w:tcPr>
          <w:p>
            <w:pPr>
              <w:spacing w:after="0"/>
              <w:rPr>
                <w:sz w:val="16"/>
                <w:szCs w:val="16"/>
                <w:color w:val="auto"/>
              </w:rPr>
            </w:pPr>
          </w:p>
        </w:tc>
      </w:tr>
      <w:tr>
        <w:trPr>
          <w:trHeight w:val="62"/>
        </w:trPr>
        <w:tc>
          <w:tcPr>
            <w:tcW w:w="1140" w:type="dxa"/>
            <w:vAlign w:val="bottom"/>
            <w:tcBorders>
              <w:left w:val="single" w:sz="8" w:color="auto"/>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6120" w:type="dxa"/>
            <w:vAlign w:val="bottom"/>
            <w:tcBorders>
              <w:bottom w:val="single" w:sz="8" w:color="auto"/>
              <w:right w:val="single" w:sz="8" w:color="auto"/>
            </w:tcBorders>
          </w:tcPr>
          <w:p>
            <w:pPr>
              <w:spacing w:after="0"/>
              <w:rPr>
                <w:sz w:val="5"/>
                <w:szCs w:val="5"/>
                <w:color w:val="auto"/>
              </w:rPr>
            </w:pPr>
          </w:p>
        </w:tc>
        <w:tc>
          <w:tcPr>
            <w:tcW w:w="3860" w:type="dxa"/>
            <w:vAlign w:val="bottom"/>
            <w:tcBorders>
              <w:bottom w:val="single" w:sz="8" w:color="auto"/>
              <w:right w:val="single" w:sz="8" w:color="auto"/>
            </w:tcBorders>
          </w:tcPr>
          <w:p>
            <w:pPr>
              <w:spacing w:after="0"/>
              <w:rPr>
                <w:sz w:val="5"/>
                <w:szCs w:val="5"/>
                <w:color w:val="auto"/>
              </w:rPr>
            </w:pPr>
          </w:p>
        </w:tc>
      </w:tr>
      <w:tr>
        <w:trPr>
          <w:trHeight w:val="281"/>
        </w:trPr>
        <w:tc>
          <w:tcPr>
            <w:tcW w:w="114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1.2</w:t>
            </w:r>
          </w:p>
        </w:tc>
        <w:tc>
          <w:tcPr>
            <w:tcW w:w="140" w:type="dxa"/>
            <w:vAlign w:val="bottom"/>
            <w:tcBorders>
              <w:right w:val="single" w:sz="8" w:color="auto"/>
            </w:tcBorders>
          </w:tcPr>
          <w:p>
            <w:pPr>
              <w:spacing w:after="0"/>
              <w:rPr>
                <w:sz w:val="24"/>
                <w:szCs w:val="24"/>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*Registration type and number</w:t>
            </w:r>
          </w:p>
        </w:tc>
        <w:tc>
          <w:tcPr>
            <w:tcW w:w="38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ARBN 163882933</w:t>
            </w:r>
          </w:p>
        </w:tc>
      </w:tr>
      <w:tr>
        <w:trPr>
          <w:trHeight w:val="151"/>
        </w:trPr>
        <w:tc>
          <w:tcPr>
            <w:tcW w:w="1140" w:type="dxa"/>
            <w:vAlign w:val="bottom"/>
            <w:tcBorders>
              <w:left w:val="single" w:sz="8" w:color="auto"/>
            </w:tcBorders>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6120" w:type="dxa"/>
            <w:vAlign w:val="bottom"/>
            <w:tcBorders>
              <w:right w:val="single" w:sz="8" w:color="auto"/>
            </w:tcBorders>
          </w:tcPr>
          <w:p>
            <w:pPr>
              <w:ind w:left="60"/>
              <w:spacing w:after="0" w:line="151" w:lineRule="exact"/>
              <w:rPr>
                <w:sz w:val="20"/>
                <w:szCs w:val="20"/>
                <w:color w:val="auto"/>
              </w:rPr>
            </w:pPr>
            <w:r>
              <w:rPr>
                <w:rFonts w:ascii="Arial" w:cs="Arial" w:eastAsia="Arial" w:hAnsi="Arial"/>
                <w:sz w:val="14"/>
                <w:szCs w:val="14"/>
                <w:i w:val="1"/>
                <w:iCs w:val="1"/>
                <w:color w:val="auto"/>
              </w:rPr>
              <w:t>Please supply your ABN, ARSN, ARBN, ACN or another registration type and number (if you</w:t>
            </w:r>
          </w:p>
        </w:tc>
        <w:tc>
          <w:tcPr>
            <w:tcW w:w="3860" w:type="dxa"/>
            <w:vAlign w:val="bottom"/>
            <w:tcBorders>
              <w:right w:val="single" w:sz="8" w:color="auto"/>
            </w:tcBorders>
          </w:tcPr>
          <w:p>
            <w:pPr>
              <w:spacing w:after="0"/>
              <w:rPr>
                <w:sz w:val="13"/>
                <w:szCs w:val="13"/>
                <w:color w:val="auto"/>
              </w:rPr>
            </w:pPr>
          </w:p>
        </w:tc>
      </w:tr>
      <w:tr>
        <w:trPr>
          <w:trHeight w:val="142"/>
        </w:trPr>
        <w:tc>
          <w:tcPr>
            <w:tcW w:w="1140" w:type="dxa"/>
            <w:vAlign w:val="bottom"/>
            <w:tcBorders>
              <w:left w:val="single" w:sz="8" w:color="auto"/>
            </w:tcBorders>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6120" w:type="dxa"/>
            <w:vAlign w:val="bottom"/>
            <w:tcBorders>
              <w:right w:val="single" w:sz="8" w:color="auto"/>
            </w:tcBorders>
          </w:tcPr>
          <w:p>
            <w:pPr>
              <w:ind w:left="60"/>
              <w:spacing w:after="0" w:line="143" w:lineRule="exact"/>
              <w:rPr>
                <w:sz w:val="20"/>
                <w:szCs w:val="20"/>
                <w:color w:val="auto"/>
              </w:rPr>
            </w:pPr>
            <w:r>
              <w:rPr>
                <w:rFonts w:ascii="Arial" w:cs="Arial" w:eastAsia="Arial" w:hAnsi="Arial"/>
                <w:sz w:val="14"/>
                <w:szCs w:val="14"/>
                <w:i w:val="1"/>
                <w:iCs w:val="1"/>
                <w:color w:val="auto"/>
              </w:rPr>
              <w:t>supply another registration type, please specify both the type of registration and the</w:t>
            </w:r>
          </w:p>
        </w:tc>
        <w:tc>
          <w:tcPr>
            <w:tcW w:w="3860" w:type="dxa"/>
            <w:vAlign w:val="bottom"/>
            <w:tcBorders>
              <w:right w:val="single" w:sz="8" w:color="auto"/>
            </w:tcBorders>
          </w:tcPr>
          <w:p>
            <w:pPr>
              <w:spacing w:after="0"/>
              <w:rPr>
                <w:sz w:val="12"/>
                <w:szCs w:val="12"/>
                <w:color w:val="auto"/>
              </w:rPr>
            </w:pPr>
          </w:p>
        </w:tc>
      </w:tr>
      <w:tr>
        <w:trPr>
          <w:trHeight w:val="188"/>
        </w:trPr>
        <w:tc>
          <w:tcPr>
            <w:tcW w:w="1140" w:type="dxa"/>
            <w:vAlign w:val="bottom"/>
            <w:tcBorders>
              <w:left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registration number).</w:t>
            </w:r>
          </w:p>
        </w:tc>
        <w:tc>
          <w:tcPr>
            <w:tcW w:w="3860" w:type="dxa"/>
            <w:vAlign w:val="bottom"/>
            <w:tcBorders>
              <w:right w:val="single" w:sz="8" w:color="auto"/>
            </w:tcBorders>
          </w:tcPr>
          <w:p>
            <w:pPr>
              <w:spacing w:after="0"/>
              <w:rPr>
                <w:sz w:val="16"/>
                <w:szCs w:val="16"/>
                <w:color w:val="auto"/>
              </w:rPr>
            </w:pPr>
          </w:p>
        </w:tc>
      </w:tr>
      <w:tr>
        <w:trPr>
          <w:trHeight w:val="55"/>
        </w:trPr>
        <w:tc>
          <w:tcPr>
            <w:tcW w:w="1140" w:type="dxa"/>
            <w:vAlign w:val="bottom"/>
            <w:tcBorders>
              <w:left w:val="single" w:sz="8" w:color="auto"/>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6120" w:type="dxa"/>
            <w:vAlign w:val="bottom"/>
            <w:tcBorders>
              <w:bottom w:val="single" w:sz="8" w:color="auto"/>
              <w:right w:val="single" w:sz="8" w:color="auto"/>
            </w:tcBorders>
          </w:tcPr>
          <w:p>
            <w:pPr>
              <w:spacing w:after="0"/>
              <w:rPr>
                <w:sz w:val="4"/>
                <w:szCs w:val="4"/>
                <w:color w:val="auto"/>
              </w:rPr>
            </w:pPr>
          </w:p>
        </w:tc>
        <w:tc>
          <w:tcPr>
            <w:tcW w:w="3860" w:type="dxa"/>
            <w:vAlign w:val="bottom"/>
            <w:tcBorders>
              <w:bottom w:val="single" w:sz="8" w:color="auto"/>
              <w:right w:val="single" w:sz="8" w:color="auto"/>
            </w:tcBorders>
          </w:tcPr>
          <w:p>
            <w:pPr>
              <w:spacing w:after="0"/>
              <w:rPr>
                <w:sz w:val="4"/>
                <w:szCs w:val="4"/>
                <w:color w:val="auto"/>
              </w:rPr>
            </w:pPr>
          </w:p>
        </w:tc>
      </w:tr>
      <w:tr>
        <w:trPr>
          <w:trHeight w:val="223"/>
        </w:trPr>
        <w:tc>
          <w:tcPr>
            <w:tcW w:w="114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1.3</w:t>
            </w:r>
          </w:p>
        </w:tc>
        <w:tc>
          <w:tcPr>
            <w:tcW w:w="140" w:type="dxa"/>
            <w:vAlign w:val="bottom"/>
            <w:tcBorders>
              <w:bottom w:val="single" w:sz="8" w:color="auto"/>
              <w:right w:val="single" w:sz="8" w:color="auto"/>
            </w:tcBorders>
          </w:tcPr>
          <w:p>
            <w:pPr>
              <w:spacing w:after="0"/>
              <w:rPr>
                <w:sz w:val="19"/>
                <w:szCs w:val="19"/>
                <w:color w:val="auto"/>
              </w:rPr>
            </w:pPr>
          </w:p>
        </w:tc>
        <w:tc>
          <w:tcPr>
            <w:tcW w:w="6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*ASX issuer code</w:t>
            </w:r>
          </w:p>
        </w:tc>
        <w:tc>
          <w:tcPr>
            <w:tcW w:w="38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NWS</w:t>
            </w:r>
          </w:p>
        </w:tc>
      </w:tr>
      <w:tr>
        <w:trPr>
          <w:trHeight w:val="232"/>
        </w:trPr>
        <w:tc>
          <w:tcPr>
            <w:tcW w:w="114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1.4</w:t>
            </w:r>
          </w:p>
        </w:tc>
        <w:tc>
          <w:tcPr>
            <w:tcW w:w="140" w:type="dxa"/>
            <w:vAlign w:val="bottom"/>
            <w:tcBorders>
              <w:right w:val="single" w:sz="8" w:color="auto"/>
            </w:tcBorders>
          </w:tcPr>
          <w:p>
            <w:pPr>
              <w:spacing w:after="0"/>
              <w:rPr>
                <w:sz w:val="20"/>
                <w:szCs w:val="20"/>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*The announcement is</w:t>
            </w:r>
          </w:p>
        </w:tc>
        <w:tc>
          <w:tcPr>
            <w:tcW w:w="3860" w:type="dxa"/>
            <w:vAlign w:val="bottom"/>
            <w:tcBorders>
              <w:right w:val="single" w:sz="8" w:color="auto"/>
            </w:tcBorders>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New announcement</w:t>
            </w:r>
          </w:p>
        </w:tc>
      </w:tr>
      <w:tr>
        <w:trPr>
          <w:trHeight w:val="221"/>
        </w:trPr>
        <w:tc>
          <w:tcPr>
            <w:tcW w:w="1140" w:type="dxa"/>
            <w:vAlign w:val="bottom"/>
            <w:tcBorders>
              <w:left w:val="single" w:sz="8" w:color="auto"/>
            </w:tcBorders>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Select whichever is applicable.</w:t>
            </w:r>
          </w:p>
        </w:tc>
        <w:tc>
          <w:tcPr>
            <w:tcW w:w="3860" w:type="dxa"/>
            <w:vAlign w:val="bottom"/>
            <w:tcBorders>
              <w:right w:val="single" w:sz="8" w:color="auto"/>
            </w:tcBorders>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Update/amendment to previous</w:t>
            </w:r>
          </w:p>
        </w:tc>
      </w:tr>
      <w:tr>
        <w:trPr>
          <w:trHeight w:val="198"/>
        </w:trPr>
        <w:tc>
          <w:tcPr>
            <w:tcW w:w="1140" w:type="dxa"/>
            <w:vAlign w:val="bottom"/>
            <w:tcBorders>
              <w:left w:val="single" w:sz="8" w:color="auto"/>
            </w:tcBorders>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6120" w:type="dxa"/>
            <w:vAlign w:val="bottom"/>
            <w:tcBorders>
              <w:right w:val="single" w:sz="8" w:color="auto"/>
            </w:tcBorders>
          </w:tcPr>
          <w:p>
            <w:pPr>
              <w:spacing w:after="0"/>
              <w:rPr>
                <w:sz w:val="17"/>
                <w:szCs w:val="17"/>
                <w:color w:val="auto"/>
              </w:rPr>
            </w:pPr>
          </w:p>
        </w:tc>
        <w:tc>
          <w:tcPr>
            <w:tcW w:w="3860" w:type="dxa"/>
            <w:vAlign w:val="bottom"/>
            <w:tcBorders>
              <w:right w:val="single" w:sz="8" w:color="auto"/>
            </w:tcBorders>
          </w:tcPr>
          <w:p>
            <w:pPr>
              <w:ind w:left="320"/>
              <w:spacing w:after="0" w:line="198" w:lineRule="exact"/>
              <w:rPr>
                <w:sz w:val="20"/>
                <w:szCs w:val="20"/>
                <w:color w:val="auto"/>
              </w:rPr>
            </w:pPr>
            <w:r>
              <w:rPr>
                <w:rFonts w:ascii="Arial" w:cs="Arial" w:eastAsia="Arial" w:hAnsi="Arial"/>
                <w:sz w:val="18"/>
                <w:szCs w:val="18"/>
                <w:color w:val="auto"/>
              </w:rPr>
              <w:t>announcement</w:t>
            </w:r>
          </w:p>
        </w:tc>
      </w:tr>
      <w:tr>
        <w:trPr>
          <w:trHeight w:val="229"/>
        </w:trPr>
        <w:tc>
          <w:tcPr>
            <w:tcW w:w="1140" w:type="dxa"/>
            <w:vAlign w:val="bottom"/>
            <w:tcBorders>
              <w:left w:val="single" w:sz="8" w:color="auto"/>
            </w:tcBorders>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6120" w:type="dxa"/>
            <w:vAlign w:val="bottom"/>
            <w:tcBorders>
              <w:right w:val="single" w:sz="8" w:color="auto"/>
            </w:tcBorders>
          </w:tcPr>
          <w:p>
            <w:pPr>
              <w:spacing w:after="0"/>
              <w:rPr>
                <w:sz w:val="19"/>
                <w:szCs w:val="19"/>
                <w:color w:val="auto"/>
              </w:rPr>
            </w:pPr>
          </w:p>
        </w:tc>
        <w:tc>
          <w:tcPr>
            <w:tcW w:w="3860" w:type="dxa"/>
            <w:vAlign w:val="bottom"/>
            <w:tcBorders>
              <w:right w:val="single" w:sz="8" w:color="auto"/>
            </w:tcBorders>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Cancellation of previous announcement</w:t>
            </w:r>
          </w:p>
        </w:tc>
      </w:tr>
      <w:tr>
        <w:trPr>
          <w:trHeight w:val="281"/>
        </w:trPr>
        <w:tc>
          <w:tcPr>
            <w:tcW w:w="114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6120" w:type="dxa"/>
            <w:vAlign w:val="bottom"/>
            <w:tcBorders>
              <w:right w:val="single" w:sz="8" w:color="auto"/>
            </w:tcBorders>
          </w:tcPr>
          <w:p>
            <w:pPr>
              <w:spacing w:after="0"/>
              <w:rPr>
                <w:sz w:val="24"/>
                <w:szCs w:val="24"/>
                <w:color w:val="auto"/>
              </w:rPr>
            </w:pPr>
          </w:p>
        </w:tc>
        <w:tc>
          <w:tcPr>
            <w:tcW w:w="3860" w:type="dxa"/>
            <w:vAlign w:val="bottom"/>
            <w:tcBorders>
              <w:right w:val="single" w:sz="8" w:color="auto"/>
            </w:tcBorders>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Daily buy-back notification</w:t>
            </w:r>
          </w:p>
        </w:tc>
      </w:tr>
      <w:tr>
        <w:trPr>
          <w:trHeight w:val="188"/>
        </w:trPr>
        <w:tc>
          <w:tcPr>
            <w:tcW w:w="1140" w:type="dxa"/>
            <w:vAlign w:val="bottom"/>
            <w:tcBorders>
              <w:left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6120" w:type="dxa"/>
            <w:vAlign w:val="bottom"/>
            <w:tcBorders>
              <w:right w:val="single" w:sz="8" w:color="auto"/>
            </w:tcBorders>
          </w:tcPr>
          <w:p>
            <w:pPr>
              <w:spacing w:after="0"/>
              <w:rPr>
                <w:sz w:val="16"/>
                <w:szCs w:val="16"/>
                <w:color w:val="auto"/>
              </w:rPr>
            </w:pPr>
          </w:p>
        </w:tc>
        <w:tc>
          <w:tcPr>
            <w:tcW w:w="3860" w:type="dxa"/>
            <w:vAlign w:val="bottom"/>
            <w:tcBorders>
              <w:right w:val="single" w:sz="8" w:color="auto"/>
            </w:tcBorders>
          </w:tcPr>
          <w:p>
            <w:pPr>
              <w:ind w:left="320"/>
              <w:spacing w:after="0"/>
              <w:rPr>
                <w:sz w:val="20"/>
                <w:szCs w:val="20"/>
                <w:color w:val="auto"/>
              </w:rPr>
            </w:pPr>
            <w:r>
              <w:rPr>
                <w:rFonts w:ascii="Arial" w:cs="Arial" w:eastAsia="Arial" w:hAnsi="Arial"/>
                <w:sz w:val="14"/>
                <w:szCs w:val="14"/>
                <w:i w:val="1"/>
                <w:iCs w:val="1"/>
                <w:color w:val="auto"/>
              </w:rPr>
              <w:t>Not applicable for selective buy-backs</w:t>
            </w:r>
          </w:p>
        </w:tc>
      </w:tr>
      <w:tr>
        <w:trPr>
          <w:trHeight w:val="165"/>
        </w:trPr>
        <w:tc>
          <w:tcPr>
            <w:tcW w:w="1140" w:type="dxa"/>
            <w:vAlign w:val="bottom"/>
            <w:tcBorders>
              <w:left w:val="single" w:sz="8" w:color="auto"/>
            </w:tcBorders>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6120" w:type="dxa"/>
            <w:vAlign w:val="bottom"/>
            <w:tcBorders>
              <w:right w:val="single" w:sz="8" w:color="auto"/>
            </w:tcBorders>
          </w:tcPr>
          <w:p>
            <w:pPr>
              <w:spacing w:after="0"/>
              <w:rPr>
                <w:sz w:val="14"/>
                <w:szCs w:val="14"/>
                <w:color w:val="auto"/>
              </w:rPr>
            </w:pPr>
          </w:p>
        </w:tc>
        <w:tc>
          <w:tcPr>
            <w:tcW w:w="3860" w:type="dxa"/>
            <w:vAlign w:val="bottom"/>
            <w:tcBorders>
              <w:right w:val="single" w:sz="8" w:color="auto"/>
            </w:tcBorders>
          </w:tcPr>
          <w:p>
            <w:pPr>
              <w:ind w:left="320"/>
              <w:spacing w:after="0"/>
              <w:rPr>
                <w:sz w:val="20"/>
                <w:szCs w:val="20"/>
                <w:color w:val="auto"/>
              </w:rPr>
            </w:pPr>
            <w:r>
              <w:rPr>
                <w:rFonts w:ascii="Arial" w:cs="Arial" w:eastAsia="Arial" w:hAnsi="Arial"/>
                <w:sz w:val="14"/>
                <w:szCs w:val="14"/>
                <w:i w:val="1"/>
                <w:iCs w:val="1"/>
                <w:color w:val="auto"/>
              </w:rPr>
              <w:t>(complete Part 4)</w:t>
            </w:r>
          </w:p>
        </w:tc>
      </w:tr>
      <w:tr>
        <w:trPr>
          <w:trHeight w:val="281"/>
        </w:trPr>
        <w:tc>
          <w:tcPr>
            <w:tcW w:w="114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6120" w:type="dxa"/>
            <w:vAlign w:val="bottom"/>
            <w:tcBorders>
              <w:right w:val="single" w:sz="8" w:color="auto"/>
            </w:tcBorders>
          </w:tcPr>
          <w:p>
            <w:pPr>
              <w:spacing w:after="0"/>
              <w:rPr>
                <w:sz w:val="24"/>
                <w:szCs w:val="24"/>
                <w:color w:val="auto"/>
              </w:rPr>
            </w:pPr>
          </w:p>
        </w:tc>
        <w:tc>
          <w:tcPr>
            <w:tcW w:w="3860" w:type="dxa"/>
            <w:vAlign w:val="bottom"/>
            <w:tcBorders>
              <w:right w:val="single" w:sz="8" w:color="auto"/>
            </w:tcBorders>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Final buy-back notification</w:t>
            </w:r>
          </w:p>
        </w:tc>
      </w:tr>
      <w:tr>
        <w:trPr>
          <w:trHeight w:val="188"/>
        </w:trPr>
        <w:tc>
          <w:tcPr>
            <w:tcW w:w="1140" w:type="dxa"/>
            <w:vAlign w:val="bottom"/>
            <w:tcBorders>
              <w:left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6120" w:type="dxa"/>
            <w:vAlign w:val="bottom"/>
            <w:tcBorders>
              <w:right w:val="single" w:sz="8" w:color="auto"/>
            </w:tcBorders>
          </w:tcPr>
          <w:p>
            <w:pPr>
              <w:spacing w:after="0"/>
              <w:rPr>
                <w:sz w:val="16"/>
                <w:szCs w:val="16"/>
                <w:color w:val="auto"/>
              </w:rPr>
            </w:pPr>
          </w:p>
        </w:tc>
        <w:tc>
          <w:tcPr>
            <w:tcW w:w="3860" w:type="dxa"/>
            <w:vAlign w:val="bottom"/>
            <w:tcBorders>
              <w:right w:val="single" w:sz="8" w:color="auto"/>
            </w:tcBorders>
          </w:tcPr>
          <w:p>
            <w:pPr>
              <w:ind w:left="320"/>
              <w:spacing w:after="0"/>
              <w:rPr>
                <w:sz w:val="20"/>
                <w:szCs w:val="20"/>
                <w:color w:val="auto"/>
              </w:rPr>
            </w:pPr>
            <w:r>
              <w:rPr>
                <w:rFonts w:ascii="Arial" w:cs="Arial" w:eastAsia="Arial" w:hAnsi="Arial"/>
                <w:sz w:val="14"/>
                <w:szCs w:val="14"/>
                <w:i w:val="1"/>
                <w:iCs w:val="1"/>
                <w:color w:val="auto"/>
              </w:rPr>
              <w:t>(complete Part 5)</w:t>
            </w:r>
          </w:p>
        </w:tc>
      </w:tr>
      <w:tr>
        <w:trPr>
          <w:trHeight w:val="62"/>
        </w:trPr>
        <w:tc>
          <w:tcPr>
            <w:tcW w:w="1140" w:type="dxa"/>
            <w:vAlign w:val="bottom"/>
            <w:tcBorders>
              <w:left w:val="single" w:sz="8" w:color="auto"/>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6120" w:type="dxa"/>
            <w:vAlign w:val="bottom"/>
            <w:tcBorders>
              <w:bottom w:val="single" w:sz="8" w:color="auto"/>
              <w:right w:val="single" w:sz="8" w:color="auto"/>
            </w:tcBorders>
          </w:tcPr>
          <w:p>
            <w:pPr>
              <w:spacing w:after="0"/>
              <w:rPr>
                <w:sz w:val="5"/>
                <w:szCs w:val="5"/>
                <w:color w:val="auto"/>
              </w:rPr>
            </w:pPr>
          </w:p>
        </w:tc>
        <w:tc>
          <w:tcPr>
            <w:tcW w:w="3860" w:type="dxa"/>
            <w:vAlign w:val="bottom"/>
            <w:tcBorders>
              <w:bottom w:val="single" w:sz="8" w:color="auto"/>
              <w:right w:val="single" w:sz="8" w:color="auto"/>
            </w:tcBorders>
          </w:tcPr>
          <w:p>
            <w:pPr>
              <w:spacing w:after="0"/>
              <w:rPr>
                <w:sz w:val="5"/>
                <w:szCs w:val="5"/>
                <w:color w:val="auto"/>
              </w:rPr>
            </w:pPr>
          </w:p>
        </w:tc>
      </w:tr>
      <w:tr>
        <w:trPr>
          <w:trHeight w:val="281"/>
        </w:trPr>
        <w:tc>
          <w:tcPr>
            <w:tcW w:w="114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1.4b</w:t>
            </w:r>
          </w:p>
        </w:tc>
        <w:tc>
          <w:tcPr>
            <w:tcW w:w="140" w:type="dxa"/>
            <w:vAlign w:val="bottom"/>
            <w:tcBorders>
              <w:right w:val="single" w:sz="8" w:color="auto"/>
            </w:tcBorders>
          </w:tcPr>
          <w:p>
            <w:pPr>
              <w:spacing w:after="0"/>
              <w:rPr>
                <w:sz w:val="24"/>
                <w:szCs w:val="24"/>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*Reason for update</w:t>
            </w:r>
          </w:p>
        </w:tc>
        <w:tc>
          <w:tcPr>
            <w:tcW w:w="38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Update to 3A.1</w:t>
            </w:r>
          </w:p>
        </w:tc>
      </w:tr>
      <w:tr>
        <w:trPr>
          <w:trHeight w:val="151"/>
        </w:trPr>
        <w:tc>
          <w:tcPr>
            <w:tcW w:w="1140" w:type="dxa"/>
            <w:vAlign w:val="bottom"/>
            <w:tcBorders>
              <w:left w:val="single" w:sz="8" w:color="auto"/>
            </w:tcBorders>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6120" w:type="dxa"/>
            <w:vAlign w:val="bottom"/>
            <w:tcBorders>
              <w:right w:val="single" w:sz="8" w:color="auto"/>
            </w:tcBorders>
          </w:tcPr>
          <w:p>
            <w:pPr>
              <w:ind w:left="60"/>
              <w:spacing w:after="0" w:line="151" w:lineRule="exact"/>
              <w:rPr>
                <w:sz w:val="20"/>
                <w:szCs w:val="20"/>
                <w:color w:val="auto"/>
              </w:rPr>
            </w:pPr>
            <w:r>
              <w:rPr>
                <w:rFonts w:ascii="Arial" w:cs="Arial" w:eastAsia="Arial" w:hAnsi="Arial"/>
                <w:sz w:val="14"/>
                <w:szCs w:val="14"/>
                <w:i w:val="1"/>
                <w:iCs w:val="1"/>
                <w:color w:val="auto"/>
              </w:rPr>
              <w:t>Answer this question if your response to Q 1.4 is “Update/amendment to previous</w:t>
            </w:r>
          </w:p>
        </w:tc>
        <w:tc>
          <w:tcPr>
            <w:tcW w:w="3860" w:type="dxa"/>
            <w:vAlign w:val="bottom"/>
            <w:tcBorders>
              <w:right w:val="single" w:sz="8" w:color="auto"/>
            </w:tcBorders>
          </w:tcPr>
          <w:p>
            <w:pPr>
              <w:spacing w:after="0"/>
              <w:rPr>
                <w:sz w:val="13"/>
                <w:szCs w:val="13"/>
                <w:color w:val="auto"/>
              </w:rPr>
            </w:pPr>
          </w:p>
        </w:tc>
      </w:tr>
      <w:tr>
        <w:trPr>
          <w:trHeight w:val="188"/>
        </w:trPr>
        <w:tc>
          <w:tcPr>
            <w:tcW w:w="1140" w:type="dxa"/>
            <w:vAlign w:val="bottom"/>
            <w:tcBorders>
              <w:left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announcement”.</w:t>
            </w:r>
          </w:p>
        </w:tc>
        <w:tc>
          <w:tcPr>
            <w:tcW w:w="3860" w:type="dxa"/>
            <w:vAlign w:val="bottom"/>
            <w:tcBorders>
              <w:right w:val="single" w:sz="8" w:color="auto"/>
            </w:tcBorders>
          </w:tcPr>
          <w:p>
            <w:pPr>
              <w:spacing w:after="0"/>
              <w:rPr>
                <w:sz w:val="16"/>
                <w:szCs w:val="16"/>
                <w:color w:val="auto"/>
              </w:rPr>
            </w:pPr>
          </w:p>
        </w:tc>
      </w:tr>
      <w:tr>
        <w:trPr>
          <w:trHeight w:val="62"/>
        </w:trPr>
        <w:tc>
          <w:tcPr>
            <w:tcW w:w="1140" w:type="dxa"/>
            <w:vAlign w:val="bottom"/>
            <w:tcBorders>
              <w:left w:val="single" w:sz="8" w:color="auto"/>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6120" w:type="dxa"/>
            <w:vAlign w:val="bottom"/>
            <w:tcBorders>
              <w:bottom w:val="single" w:sz="8" w:color="auto"/>
              <w:right w:val="single" w:sz="8" w:color="auto"/>
            </w:tcBorders>
          </w:tcPr>
          <w:p>
            <w:pPr>
              <w:spacing w:after="0"/>
              <w:rPr>
                <w:sz w:val="5"/>
                <w:szCs w:val="5"/>
                <w:color w:val="auto"/>
              </w:rPr>
            </w:pPr>
          </w:p>
        </w:tc>
        <w:tc>
          <w:tcPr>
            <w:tcW w:w="3860" w:type="dxa"/>
            <w:vAlign w:val="bottom"/>
            <w:tcBorders>
              <w:bottom w:val="single" w:sz="8" w:color="auto"/>
              <w:right w:val="single" w:sz="8" w:color="auto"/>
            </w:tcBorders>
          </w:tcPr>
          <w:p>
            <w:pPr>
              <w:spacing w:after="0"/>
              <w:rPr>
                <w:sz w:val="5"/>
                <w:szCs w:val="5"/>
                <w:color w:val="auto"/>
              </w:rPr>
            </w:pPr>
          </w:p>
        </w:tc>
      </w:tr>
      <w:tr>
        <w:trPr>
          <w:trHeight w:val="281"/>
        </w:trPr>
        <w:tc>
          <w:tcPr>
            <w:tcW w:w="114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1.4c</w:t>
            </w:r>
          </w:p>
        </w:tc>
        <w:tc>
          <w:tcPr>
            <w:tcW w:w="140" w:type="dxa"/>
            <w:vAlign w:val="bottom"/>
            <w:tcBorders>
              <w:right w:val="single" w:sz="8" w:color="auto"/>
            </w:tcBorders>
          </w:tcPr>
          <w:p>
            <w:pPr>
              <w:spacing w:after="0"/>
              <w:rPr>
                <w:sz w:val="24"/>
                <w:szCs w:val="24"/>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*Date of initial notification of buy-back</w:t>
            </w:r>
          </w:p>
        </w:tc>
        <w:tc>
          <w:tcPr>
            <w:tcW w:w="38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15/07/2025</w:t>
            </w:r>
          </w:p>
        </w:tc>
      </w:tr>
      <w:tr>
        <w:trPr>
          <w:trHeight w:val="151"/>
        </w:trPr>
        <w:tc>
          <w:tcPr>
            <w:tcW w:w="1140" w:type="dxa"/>
            <w:vAlign w:val="bottom"/>
            <w:tcBorders>
              <w:left w:val="single" w:sz="8" w:color="auto"/>
            </w:tcBorders>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6120" w:type="dxa"/>
            <w:vAlign w:val="bottom"/>
            <w:tcBorders>
              <w:right w:val="single" w:sz="8" w:color="auto"/>
            </w:tcBorders>
          </w:tcPr>
          <w:p>
            <w:pPr>
              <w:ind w:left="60"/>
              <w:spacing w:after="0" w:line="151" w:lineRule="exact"/>
              <w:rPr>
                <w:sz w:val="20"/>
                <w:szCs w:val="20"/>
                <w:color w:val="auto"/>
              </w:rPr>
            </w:pPr>
            <w:r>
              <w:rPr>
                <w:rFonts w:ascii="Arial" w:cs="Arial" w:eastAsia="Arial" w:hAnsi="Arial"/>
                <w:sz w:val="14"/>
                <w:szCs w:val="14"/>
                <w:i w:val="1"/>
                <w:iCs w:val="1"/>
                <w:color w:val="auto"/>
              </w:rPr>
              <w:t>Answer this question if your response to Q 1.4 is “Update/amendment to previous</w:t>
            </w:r>
          </w:p>
        </w:tc>
        <w:tc>
          <w:tcPr>
            <w:tcW w:w="3860" w:type="dxa"/>
            <w:vAlign w:val="bottom"/>
            <w:tcBorders>
              <w:right w:val="single" w:sz="8" w:color="auto"/>
            </w:tcBorders>
          </w:tcPr>
          <w:p>
            <w:pPr>
              <w:spacing w:after="0"/>
              <w:rPr>
                <w:sz w:val="13"/>
                <w:szCs w:val="13"/>
                <w:color w:val="auto"/>
              </w:rPr>
            </w:pPr>
          </w:p>
        </w:tc>
      </w:tr>
      <w:tr>
        <w:trPr>
          <w:trHeight w:val="188"/>
        </w:trPr>
        <w:tc>
          <w:tcPr>
            <w:tcW w:w="1140" w:type="dxa"/>
            <w:vAlign w:val="bottom"/>
            <w:tcBorders>
              <w:left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announcement” or “Cancellation of previous announcement”.</w:t>
            </w:r>
          </w:p>
        </w:tc>
        <w:tc>
          <w:tcPr>
            <w:tcW w:w="3860" w:type="dxa"/>
            <w:vAlign w:val="bottom"/>
            <w:tcBorders>
              <w:right w:val="single" w:sz="8" w:color="auto"/>
            </w:tcBorders>
          </w:tcPr>
          <w:p>
            <w:pPr>
              <w:spacing w:after="0"/>
              <w:rPr>
                <w:sz w:val="16"/>
                <w:szCs w:val="16"/>
                <w:color w:val="auto"/>
              </w:rPr>
            </w:pPr>
          </w:p>
        </w:tc>
      </w:tr>
      <w:tr>
        <w:trPr>
          <w:trHeight w:val="62"/>
        </w:trPr>
        <w:tc>
          <w:tcPr>
            <w:tcW w:w="1140" w:type="dxa"/>
            <w:vAlign w:val="bottom"/>
            <w:tcBorders>
              <w:left w:val="single" w:sz="8" w:color="auto"/>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6120" w:type="dxa"/>
            <w:vAlign w:val="bottom"/>
            <w:tcBorders>
              <w:bottom w:val="single" w:sz="8" w:color="auto"/>
              <w:right w:val="single" w:sz="8" w:color="auto"/>
            </w:tcBorders>
          </w:tcPr>
          <w:p>
            <w:pPr>
              <w:spacing w:after="0"/>
              <w:rPr>
                <w:sz w:val="5"/>
                <w:szCs w:val="5"/>
                <w:color w:val="auto"/>
              </w:rPr>
            </w:pPr>
          </w:p>
        </w:tc>
        <w:tc>
          <w:tcPr>
            <w:tcW w:w="3860" w:type="dxa"/>
            <w:vAlign w:val="bottom"/>
            <w:tcBorders>
              <w:bottom w:val="single" w:sz="8" w:color="auto"/>
              <w:right w:val="single" w:sz="8" w:color="auto"/>
            </w:tcBorders>
          </w:tcPr>
          <w:p>
            <w:pPr>
              <w:spacing w:after="0"/>
              <w:rPr>
                <w:sz w:val="5"/>
                <w:szCs w:val="5"/>
                <w:color w:val="auto"/>
              </w:rPr>
            </w:pPr>
          </w:p>
        </w:tc>
      </w:tr>
      <w:tr>
        <w:trPr>
          <w:trHeight w:val="281"/>
        </w:trPr>
        <w:tc>
          <w:tcPr>
            <w:tcW w:w="114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1.4d</w:t>
            </w:r>
          </w:p>
        </w:tc>
        <w:tc>
          <w:tcPr>
            <w:tcW w:w="140" w:type="dxa"/>
            <w:vAlign w:val="bottom"/>
            <w:tcBorders>
              <w:right w:val="single" w:sz="8" w:color="auto"/>
            </w:tcBorders>
          </w:tcPr>
          <w:p>
            <w:pPr>
              <w:spacing w:after="0"/>
              <w:rPr>
                <w:sz w:val="24"/>
                <w:szCs w:val="24"/>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*Date of previous announcement to this update</w:t>
            </w:r>
          </w:p>
        </w:tc>
        <w:tc>
          <w:tcPr>
            <w:tcW w:w="38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30/10/2026</w:t>
            </w:r>
          </w:p>
        </w:tc>
      </w:tr>
      <w:tr>
        <w:trPr>
          <w:trHeight w:val="151"/>
        </w:trPr>
        <w:tc>
          <w:tcPr>
            <w:tcW w:w="1140" w:type="dxa"/>
            <w:vAlign w:val="bottom"/>
            <w:tcBorders>
              <w:left w:val="single" w:sz="8" w:color="auto"/>
            </w:tcBorders>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6120" w:type="dxa"/>
            <w:vAlign w:val="bottom"/>
            <w:tcBorders>
              <w:right w:val="single" w:sz="8" w:color="auto"/>
            </w:tcBorders>
          </w:tcPr>
          <w:p>
            <w:pPr>
              <w:ind w:left="60"/>
              <w:spacing w:after="0" w:line="151" w:lineRule="exact"/>
              <w:rPr>
                <w:sz w:val="20"/>
                <w:szCs w:val="20"/>
                <w:color w:val="auto"/>
              </w:rPr>
            </w:pPr>
            <w:r>
              <w:rPr>
                <w:rFonts w:ascii="Arial" w:cs="Arial" w:eastAsia="Arial" w:hAnsi="Arial"/>
                <w:sz w:val="14"/>
                <w:szCs w:val="14"/>
                <w:i w:val="1"/>
                <w:iCs w:val="1"/>
                <w:color w:val="auto"/>
              </w:rPr>
              <w:t>Answer this question if your response to Q 1.4 is “Update/amendment to previous</w:t>
            </w:r>
          </w:p>
        </w:tc>
        <w:tc>
          <w:tcPr>
            <w:tcW w:w="3860" w:type="dxa"/>
            <w:vAlign w:val="bottom"/>
            <w:tcBorders>
              <w:right w:val="single" w:sz="8" w:color="auto"/>
            </w:tcBorders>
          </w:tcPr>
          <w:p>
            <w:pPr>
              <w:spacing w:after="0"/>
              <w:rPr>
                <w:sz w:val="13"/>
                <w:szCs w:val="13"/>
                <w:color w:val="auto"/>
              </w:rPr>
            </w:pPr>
          </w:p>
        </w:tc>
      </w:tr>
      <w:tr>
        <w:trPr>
          <w:trHeight w:val="188"/>
        </w:trPr>
        <w:tc>
          <w:tcPr>
            <w:tcW w:w="1140" w:type="dxa"/>
            <w:vAlign w:val="bottom"/>
            <w:tcBorders>
              <w:left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announcement”.</w:t>
            </w:r>
          </w:p>
        </w:tc>
        <w:tc>
          <w:tcPr>
            <w:tcW w:w="3860" w:type="dxa"/>
            <w:vAlign w:val="bottom"/>
            <w:tcBorders>
              <w:right w:val="single" w:sz="8" w:color="auto"/>
            </w:tcBorders>
          </w:tcPr>
          <w:p>
            <w:pPr>
              <w:spacing w:after="0"/>
              <w:rPr>
                <w:sz w:val="16"/>
                <w:szCs w:val="16"/>
                <w:color w:val="auto"/>
              </w:rPr>
            </w:pPr>
          </w:p>
        </w:tc>
      </w:tr>
      <w:tr>
        <w:trPr>
          <w:trHeight w:val="62"/>
        </w:trPr>
        <w:tc>
          <w:tcPr>
            <w:tcW w:w="1140" w:type="dxa"/>
            <w:vAlign w:val="bottom"/>
            <w:tcBorders>
              <w:left w:val="single" w:sz="8" w:color="auto"/>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6120" w:type="dxa"/>
            <w:vAlign w:val="bottom"/>
            <w:tcBorders>
              <w:bottom w:val="single" w:sz="8" w:color="auto"/>
              <w:right w:val="single" w:sz="8" w:color="auto"/>
            </w:tcBorders>
          </w:tcPr>
          <w:p>
            <w:pPr>
              <w:spacing w:after="0"/>
              <w:rPr>
                <w:sz w:val="5"/>
                <w:szCs w:val="5"/>
                <w:color w:val="auto"/>
              </w:rPr>
            </w:pPr>
          </w:p>
        </w:tc>
        <w:tc>
          <w:tcPr>
            <w:tcW w:w="3860" w:type="dxa"/>
            <w:vAlign w:val="bottom"/>
            <w:tcBorders>
              <w:bottom w:val="single" w:sz="8" w:color="auto"/>
              <w:right w:val="single" w:sz="8" w:color="auto"/>
            </w:tcBorders>
          </w:tcPr>
          <w:p>
            <w:pPr>
              <w:spacing w:after="0"/>
              <w:rPr>
                <w:sz w:val="5"/>
                <w:szCs w:val="5"/>
                <w:color w:val="auto"/>
              </w:rPr>
            </w:pPr>
          </w:p>
        </w:tc>
      </w:tr>
      <w:tr>
        <w:trPr>
          <w:trHeight w:val="223"/>
        </w:trPr>
        <w:tc>
          <w:tcPr>
            <w:tcW w:w="114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1.5</w:t>
            </w:r>
          </w:p>
        </w:tc>
        <w:tc>
          <w:tcPr>
            <w:tcW w:w="140" w:type="dxa"/>
            <w:vAlign w:val="bottom"/>
            <w:tcBorders>
              <w:bottom w:val="single" w:sz="8" w:color="auto"/>
              <w:right w:val="single" w:sz="8" w:color="auto"/>
            </w:tcBorders>
          </w:tcPr>
          <w:p>
            <w:pPr>
              <w:spacing w:after="0"/>
              <w:rPr>
                <w:sz w:val="19"/>
                <w:szCs w:val="19"/>
                <w:color w:val="auto"/>
              </w:rPr>
            </w:pPr>
          </w:p>
        </w:tc>
        <w:tc>
          <w:tcPr>
            <w:tcW w:w="6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*Date of this announcement</w:t>
            </w:r>
          </w:p>
        </w:tc>
        <w:tc>
          <w:tcPr>
            <w:tcW w:w="38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02/11/2026</w:t>
            </w:r>
          </w:p>
        </w:tc>
      </w:tr>
      <w:tr>
        <w:trPr>
          <w:trHeight w:val="272"/>
        </w:trPr>
        <w:tc>
          <w:tcPr>
            <w:tcW w:w="114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1.6</w:t>
            </w:r>
          </w:p>
        </w:tc>
        <w:tc>
          <w:tcPr>
            <w:tcW w:w="140" w:type="dxa"/>
            <w:vAlign w:val="bottom"/>
            <w:tcBorders>
              <w:right w:val="single" w:sz="8" w:color="auto"/>
            </w:tcBorders>
          </w:tcPr>
          <w:p>
            <w:pPr>
              <w:spacing w:after="0"/>
              <w:rPr>
                <w:sz w:val="23"/>
                <w:szCs w:val="23"/>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*Class of +securities the subject of the buy-back:</w:t>
            </w:r>
          </w:p>
        </w:tc>
        <w:tc>
          <w:tcPr>
            <w:tcW w:w="38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ASX Security Code: NWSAA</w:t>
            </w:r>
          </w:p>
        </w:tc>
      </w:tr>
      <w:tr>
        <w:trPr>
          <w:trHeight w:val="181"/>
        </w:trPr>
        <w:tc>
          <w:tcPr>
            <w:tcW w:w="1140" w:type="dxa"/>
            <w:vAlign w:val="bottom"/>
            <w:tcBorders>
              <w:left w:val="single" w:sz="8" w:color="auto"/>
            </w:tcBorders>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Note: only one type of buy-back for one class of security can be advised in this notification. If</w:t>
            </w:r>
          </w:p>
        </w:tc>
        <w:tc>
          <w:tcPr>
            <w:tcW w:w="3860" w:type="dxa"/>
            <w:vAlign w:val="bottom"/>
            <w:tcBorders>
              <w:right w:val="single" w:sz="8" w:color="auto"/>
            </w:tcBorders>
          </w:tcPr>
          <w:p>
            <w:pPr>
              <w:ind w:left="60"/>
              <w:spacing w:after="0" w:line="181" w:lineRule="exact"/>
              <w:rPr>
                <w:sz w:val="20"/>
                <w:szCs w:val="20"/>
                <w:color w:val="auto"/>
              </w:rPr>
            </w:pPr>
            <w:r>
              <w:rPr>
                <w:rFonts w:ascii="Arial" w:cs="Arial" w:eastAsia="Arial" w:hAnsi="Arial"/>
                <w:sz w:val="18"/>
                <w:szCs w:val="18"/>
                <w:color w:val="auto"/>
              </w:rPr>
              <w:t>Security Description: COMMON STOCK</w:t>
            </w:r>
          </w:p>
        </w:tc>
      </w:tr>
      <w:tr>
        <w:trPr>
          <w:trHeight w:val="175"/>
        </w:trPr>
        <w:tc>
          <w:tcPr>
            <w:tcW w:w="1140" w:type="dxa"/>
            <w:vAlign w:val="bottom"/>
            <w:tcBorders>
              <w:left w:val="single" w:sz="8" w:color="auto"/>
            </w:tcBorders>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 buy-back extends to more than one class of security, a separate notification is required for</w:t>
            </w:r>
          </w:p>
        </w:tc>
        <w:tc>
          <w:tcPr>
            <w:tcW w:w="3860" w:type="dxa"/>
            <w:vAlign w:val="bottom"/>
            <w:tcBorders>
              <w:right w:val="single" w:sz="8" w:color="auto"/>
            </w:tcBorders>
          </w:tcPr>
          <w:p>
            <w:pPr>
              <w:ind w:left="60"/>
              <w:spacing w:after="0" w:line="176" w:lineRule="exact"/>
              <w:rPr>
                <w:sz w:val="20"/>
                <w:szCs w:val="20"/>
                <w:color w:val="auto"/>
              </w:rPr>
            </w:pPr>
            <w:r>
              <w:rPr>
                <w:rFonts w:ascii="Arial" w:cs="Arial" w:eastAsia="Arial" w:hAnsi="Arial"/>
                <w:sz w:val="18"/>
                <w:szCs w:val="18"/>
                <w:color w:val="auto"/>
              </w:rPr>
              <w:t>CLASS A</w:t>
            </w:r>
          </w:p>
        </w:tc>
      </w:tr>
      <w:tr>
        <w:trPr>
          <w:trHeight w:val="189"/>
        </w:trPr>
        <w:tc>
          <w:tcPr>
            <w:tcW w:w="1140" w:type="dxa"/>
            <w:vAlign w:val="bottom"/>
            <w:tcBorders>
              <w:left w:val="single" w:sz="8" w:color="auto"/>
              <w:bottom w:val="single" w:sz="8" w:color="auto"/>
            </w:tcBorders>
          </w:tcPr>
          <w:p>
            <w:pPr>
              <w:spacing w:after="0"/>
              <w:rPr>
                <w:sz w:val="16"/>
                <w:szCs w:val="16"/>
                <w:color w:val="auto"/>
              </w:rPr>
            </w:pPr>
          </w:p>
        </w:tc>
        <w:tc>
          <w:tcPr>
            <w:tcW w:w="140" w:type="dxa"/>
            <w:vAlign w:val="bottom"/>
            <w:tcBorders>
              <w:bottom w:val="single" w:sz="8" w:color="auto"/>
              <w:right w:val="single" w:sz="8" w:color="auto"/>
            </w:tcBorders>
          </w:tcPr>
          <w:p>
            <w:pPr>
              <w:spacing w:after="0"/>
              <w:rPr>
                <w:sz w:val="16"/>
                <w:szCs w:val="16"/>
                <w:color w:val="auto"/>
              </w:rPr>
            </w:pPr>
          </w:p>
        </w:tc>
        <w:tc>
          <w:tcPr>
            <w:tcW w:w="6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4"/>
                <w:szCs w:val="14"/>
                <w:i w:val="1"/>
                <w:iCs w:val="1"/>
                <w:color w:val="auto"/>
              </w:rPr>
              <w:t>each class.</w:t>
            </w:r>
          </w:p>
        </w:tc>
        <w:tc>
          <w:tcPr>
            <w:tcW w:w="3860" w:type="dxa"/>
            <w:vAlign w:val="bottom"/>
            <w:tcBorders>
              <w:bottom w:val="single" w:sz="8" w:color="auto"/>
              <w:right w:val="single" w:sz="8" w:color="auto"/>
            </w:tcBorders>
          </w:tcPr>
          <w:p>
            <w:pPr>
              <w:spacing w:after="0"/>
              <w:rPr>
                <w:sz w:val="16"/>
                <w:szCs w:val="16"/>
                <w:color w:val="auto"/>
              </w:rPr>
            </w:pPr>
          </w:p>
        </w:tc>
      </w:tr>
      <w:tr>
        <w:trPr>
          <w:trHeight w:val="831"/>
        </w:trPr>
        <w:tc>
          <w:tcPr>
            <w:tcW w:w="7400" w:type="dxa"/>
            <w:vAlign w:val="bottom"/>
            <w:tcBorders>
              <w:bottom w:val="single" w:sz="8" w:color="auto"/>
            </w:tcBorders>
            <w:gridSpan w:val="3"/>
          </w:tcPr>
          <w:p>
            <w:pPr>
              <w:spacing w:after="0"/>
              <w:rPr>
                <w:sz w:val="24"/>
                <w:szCs w:val="24"/>
                <w:color w:val="auto"/>
              </w:rPr>
            </w:pPr>
          </w:p>
        </w:tc>
        <w:tc>
          <w:tcPr>
            <w:tcW w:w="3860" w:type="dxa"/>
            <w:vAlign w:val="bottom"/>
            <w:tcBorders>
              <w:bottom w:val="single" w:sz="8" w:color="auto"/>
            </w:tcBorders>
          </w:tcPr>
          <w:p>
            <w:pPr>
              <w:spacing w:after="0"/>
              <w:rPr>
                <w:sz w:val="24"/>
                <w:szCs w:val="24"/>
                <w:color w:val="auto"/>
              </w:rPr>
            </w:pPr>
          </w:p>
        </w:tc>
      </w:tr>
      <w:tr>
        <w:trPr>
          <w:trHeight w:val="208"/>
        </w:trPr>
        <w:tc>
          <w:tcPr>
            <w:tcW w:w="7400" w:type="dxa"/>
            <w:vAlign w:val="bottom"/>
            <w:gridSpan w:val="3"/>
          </w:tcPr>
          <w:p>
            <w:pPr>
              <w:ind w:left="80"/>
              <w:spacing w:after="0"/>
              <w:rPr>
                <w:sz w:val="20"/>
                <w:szCs w:val="20"/>
                <w:color w:val="auto"/>
              </w:rPr>
            </w:pPr>
            <w:r>
              <w:rPr>
                <w:rFonts w:ascii="Arial" w:cs="Arial" w:eastAsia="Arial" w:hAnsi="Arial"/>
                <w:sz w:val="16"/>
                <w:szCs w:val="16"/>
                <w:color w:val="auto"/>
              </w:rPr>
              <w:t>+ See chapter 19 for defined terms</w:t>
            </w:r>
          </w:p>
        </w:tc>
        <w:tc>
          <w:tcPr>
            <w:tcW w:w="3860" w:type="dxa"/>
            <w:vAlign w:val="bottom"/>
          </w:tcPr>
          <w:p>
            <w:pPr>
              <w:spacing w:after="0"/>
              <w:rPr>
                <w:sz w:val="18"/>
                <w:szCs w:val="18"/>
                <w:color w:val="auto"/>
              </w:rPr>
            </w:pPr>
          </w:p>
        </w:tc>
      </w:tr>
      <w:tr>
        <w:trPr>
          <w:trHeight w:val="283"/>
        </w:trPr>
        <w:tc>
          <w:tcPr>
            <w:tcW w:w="1140" w:type="dxa"/>
            <w:vAlign w:val="bottom"/>
          </w:tcPr>
          <w:p>
            <w:pPr>
              <w:spacing w:after="0"/>
              <w:rPr>
                <w:sz w:val="20"/>
                <w:szCs w:val="20"/>
                <w:color w:val="auto"/>
              </w:rPr>
            </w:pPr>
            <w:r>
              <w:rPr>
                <w:rFonts w:ascii="Arial" w:cs="Arial" w:eastAsia="Arial" w:hAnsi="Arial"/>
                <w:sz w:val="16"/>
                <w:szCs w:val="16"/>
                <w:i w:val="1"/>
                <w:iCs w:val="1"/>
                <w:color w:val="auto"/>
              </w:rPr>
              <w:t>5 June 2021</w:t>
            </w:r>
          </w:p>
        </w:tc>
        <w:tc>
          <w:tcPr>
            <w:tcW w:w="6260" w:type="dxa"/>
            <w:vAlign w:val="bottom"/>
            <w:gridSpan w:val="2"/>
          </w:tcPr>
          <w:p>
            <w:pPr>
              <w:ind w:left="120"/>
              <w:spacing w:after="0"/>
              <w:rPr>
                <w:sz w:val="20"/>
                <w:szCs w:val="20"/>
                <w:color w:val="auto"/>
              </w:rPr>
            </w:pPr>
            <w:r>
              <w:rPr>
                <w:rFonts w:ascii="Arial" w:cs="Arial" w:eastAsia="Arial" w:hAnsi="Arial"/>
                <w:sz w:val="16"/>
                <w:szCs w:val="16"/>
                <w:color w:val="auto"/>
              </w:rPr>
              <w:t>Page 1</w:t>
            </w:r>
          </w:p>
        </w:tc>
        <w:tc>
          <w:tcPr>
            <w:tcW w:w="3860" w:type="dxa"/>
            <w:vAlign w:val="bottom"/>
          </w:tcPr>
          <w:p>
            <w:pPr>
              <w:spacing w:after="0"/>
              <w:rPr>
                <w:sz w:val="24"/>
                <w:szCs w:val="24"/>
                <w:color w:val="auto"/>
              </w:rPr>
            </w:pPr>
          </w:p>
        </w:tc>
      </w:tr>
    </w:tbl>
    <w:p>
      <w:pPr>
        <w:sectPr>
          <w:pgSz w:w="11900" w:h="16838" w:orient="portrait"/>
          <w:cols w:equalWidth="0" w:num="1">
            <w:col w:w="11260"/>
          </w:cols>
          <w:pgMar w:left="320" w:top="163" w:right="319" w:bottom="1440" w:gutter="0" w:footer="0" w:header="0"/>
        </w:sectPr>
      </w:pPr>
    </w:p>
    <w:bookmarkStart w:id="4" w:name="page5"/>
    <w:bookmarkEnd w:id="4"/>
    <w:p>
      <w:pPr>
        <w:ind w:left="440"/>
        <w:spacing w:after="0"/>
        <w:rPr>
          <w:sz w:val="20"/>
          <w:szCs w:val="20"/>
          <w:color w:val="auto"/>
        </w:rPr>
      </w:pPr>
      <w:r>
        <w:rPr>
          <w:rFonts w:ascii="Arial" w:cs="Arial" w:eastAsia="Arial" w:hAnsi="Arial"/>
          <w:sz w:val="18"/>
          <w:szCs w:val="18"/>
          <w:b w:val="1"/>
          <w:bCs w:val="1"/>
          <w:color w:val="auto"/>
        </w:rPr>
        <w:t>Appendix 3C</w:t>
      </w:r>
    </w:p>
    <w:p>
      <w:pPr>
        <w:spacing w:after="0" w:line="14"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Notification of buy-back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25"/>
          <w:szCs w:val="25"/>
          <w:color w:val="auto"/>
        </w:rPr>
        <w:t>Part 2 –Type of buy-back</w:t>
      </w:r>
    </w:p>
    <w:p>
      <w:pPr>
        <w:spacing w:after="0" w:line="134"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124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b w:val="1"/>
                <w:bCs w:val="1"/>
                <w:color w:val="auto"/>
              </w:rPr>
              <w:t>Question No.</w:t>
            </w:r>
          </w:p>
        </w:tc>
        <w:tc>
          <w:tcPr>
            <w:tcW w:w="612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Question</w:t>
            </w:r>
          </w:p>
        </w:tc>
        <w:tc>
          <w:tcPr>
            <w:tcW w:w="390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Answer</w:t>
            </w:r>
          </w:p>
        </w:tc>
        <w:tc>
          <w:tcPr>
            <w:tcW w:w="0" w:type="dxa"/>
            <w:vAlign w:val="bottom"/>
          </w:tcPr>
          <w:p>
            <w:pPr>
              <w:spacing w:after="0"/>
              <w:rPr>
                <w:sz w:val="1"/>
                <w:szCs w:val="1"/>
                <w:color w:val="auto"/>
              </w:rPr>
            </w:pPr>
          </w:p>
        </w:tc>
      </w:tr>
      <w:tr>
        <w:trPr>
          <w:trHeight w:val="232"/>
        </w:trPr>
        <w:tc>
          <w:tcPr>
            <w:tcW w:w="12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2.1</w:t>
            </w: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*The type of buy-back is</w:t>
            </w:r>
          </w:p>
        </w:tc>
        <w:tc>
          <w:tcPr>
            <w:tcW w:w="3900" w:type="dxa"/>
            <w:vAlign w:val="bottom"/>
            <w:tcBorders>
              <w:right w:val="single" w:sz="8" w:color="auto"/>
            </w:tcBorders>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Employee share scheme buy-back</w:t>
            </w:r>
          </w:p>
        </w:tc>
        <w:tc>
          <w:tcPr>
            <w:tcW w:w="0" w:type="dxa"/>
            <w:vAlign w:val="bottom"/>
          </w:tcPr>
          <w:p>
            <w:pPr>
              <w:spacing w:after="0"/>
              <w:rPr>
                <w:sz w:val="1"/>
                <w:szCs w:val="1"/>
                <w:color w:val="auto"/>
              </w:rPr>
            </w:pPr>
          </w:p>
        </w:tc>
      </w:tr>
      <w:tr>
        <w:trPr>
          <w:trHeight w:val="230"/>
        </w:trPr>
        <w:tc>
          <w:tcPr>
            <w:tcW w:w="1240" w:type="dxa"/>
            <w:vAlign w:val="bottom"/>
            <w:tcBorders>
              <w:left w:val="single" w:sz="8" w:color="auto"/>
              <w:right w:val="single" w:sz="8" w:color="auto"/>
            </w:tcBorders>
          </w:tcPr>
          <w:p>
            <w:pPr>
              <w:spacing w:after="0"/>
              <w:rPr>
                <w:sz w:val="19"/>
                <w:szCs w:val="19"/>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Note this form is not required for minimum holding buy-backs (i.e. buy-backs of unmarketable</w:t>
            </w:r>
          </w:p>
        </w:tc>
        <w:tc>
          <w:tcPr>
            <w:tcW w:w="3900" w:type="dxa"/>
            <w:vAlign w:val="bottom"/>
            <w:tcBorders>
              <w:right w:val="single" w:sz="8" w:color="auto"/>
            </w:tcBorders>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On-market buy-back</w:t>
            </w:r>
          </w:p>
        </w:tc>
        <w:tc>
          <w:tcPr>
            <w:tcW w:w="0" w:type="dxa"/>
            <w:vAlign w:val="bottom"/>
          </w:tcPr>
          <w:p>
            <w:pPr>
              <w:spacing w:after="0"/>
              <w:rPr>
                <w:sz w:val="1"/>
                <w:szCs w:val="1"/>
                <w:color w:val="auto"/>
              </w:rPr>
            </w:pPr>
          </w:p>
        </w:tc>
      </w:tr>
      <w:tr>
        <w:trPr>
          <w:trHeight w:val="187"/>
        </w:trPr>
        <w:tc>
          <w:tcPr>
            <w:tcW w:w="1240" w:type="dxa"/>
            <w:vAlign w:val="bottom"/>
            <w:tcBorders>
              <w:left w:val="single" w:sz="8" w:color="auto"/>
              <w:right w:val="single" w:sz="8" w:color="auto"/>
            </w:tcBorders>
          </w:tcPr>
          <w:p>
            <w:pPr>
              <w:spacing w:after="0"/>
              <w:rPr>
                <w:sz w:val="16"/>
                <w:szCs w:val="16"/>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parcels). The only notification required to ASX for a minimum holding buy-back is the</w:t>
            </w:r>
          </w:p>
        </w:tc>
        <w:tc>
          <w:tcPr>
            <w:tcW w:w="3900" w:type="dxa"/>
            <w:vAlign w:val="bottom"/>
            <w:tcBorders>
              <w:right w:val="single" w:sz="8" w:color="auto"/>
            </w:tcBorders>
            <w:vMerge w:val="restart"/>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Equal access scheme buy-back</w:t>
            </w:r>
          </w:p>
        </w:tc>
        <w:tc>
          <w:tcPr>
            <w:tcW w:w="0" w:type="dxa"/>
            <w:vAlign w:val="bottom"/>
          </w:tcPr>
          <w:p>
            <w:pPr>
              <w:spacing w:after="0"/>
              <w:rPr>
                <w:sz w:val="1"/>
                <w:szCs w:val="1"/>
                <w:color w:val="auto"/>
              </w:rPr>
            </w:pPr>
          </w:p>
        </w:tc>
      </w:tr>
      <w:tr>
        <w:trPr>
          <w:trHeight w:val="56"/>
        </w:trPr>
        <w:tc>
          <w:tcPr>
            <w:tcW w:w="1240" w:type="dxa"/>
            <w:vAlign w:val="bottom"/>
            <w:tcBorders>
              <w:left w:val="single" w:sz="8" w:color="auto"/>
              <w:right w:val="single" w:sz="8" w:color="auto"/>
            </w:tcBorders>
          </w:tcPr>
          <w:p>
            <w:pPr>
              <w:spacing w:after="0"/>
              <w:rPr>
                <w:sz w:val="4"/>
                <w:szCs w:val="4"/>
                <w:color w:val="auto"/>
              </w:rPr>
            </w:pPr>
          </w:p>
        </w:tc>
        <w:tc>
          <w:tcPr>
            <w:tcW w:w="6120" w:type="dxa"/>
            <w:vAlign w:val="bottom"/>
            <w:tcBorders>
              <w:right w:val="single" w:sz="8" w:color="auto"/>
            </w:tcBorders>
            <w:vMerge w:val="restart"/>
          </w:tcPr>
          <w:p>
            <w:pPr>
              <w:ind w:left="60"/>
              <w:spacing w:after="0"/>
              <w:rPr>
                <w:sz w:val="20"/>
                <w:szCs w:val="20"/>
                <w:color w:val="auto"/>
              </w:rPr>
            </w:pPr>
            <w:r>
              <w:rPr>
                <w:rFonts w:ascii="Arial" w:cs="Arial" w:eastAsia="Arial" w:hAnsi="Arial"/>
                <w:sz w:val="14"/>
                <w:szCs w:val="14"/>
                <w:i w:val="1"/>
                <w:iCs w:val="1"/>
                <w:color w:val="auto"/>
              </w:rPr>
              <w:t>lodgement of an Appendix 3H within 5 business days of the completion of the minimum</w:t>
            </w:r>
          </w:p>
        </w:tc>
        <w:tc>
          <w:tcPr>
            <w:tcW w:w="390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6"/>
        </w:trPr>
        <w:tc>
          <w:tcPr>
            <w:tcW w:w="1240" w:type="dxa"/>
            <w:vAlign w:val="bottom"/>
            <w:tcBorders>
              <w:left w:val="single" w:sz="8" w:color="auto"/>
              <w:right w:val="single" w:sz="8" w:color="auto"/>
            </w:tcBorders>
          </w:tcPr>
          <w:p>
            <w:pPr>
              <w:spacing w:after="0"/>
              <w:rPr>
                <w:sz w:val="9"/>
                <w:szCs w:val="9"/>
                <w:color w:val="auto"/>
              </w:rPr>
            </w:pPr>
          </w:p>
        </w:tc>
        <w:tc>
          <w:tcPr>
            <w:tcW w:w="6120" w:type="dxa"/>
            <w:vAlign w:val="bottom"/>
            <w:tcBorders>
              <w:right w:val="single" w:sz="8" w:color="auto"/>
            </w:tcBorders>
            <w:vMerge w:val="continue"/>
          </w:tcPr>
          <w:p>
            <w:pPr>
              <w:spacing w:after="0"/>
              <w:rPr>
                <w:sz w:val="9"/>
                <w:szCs w:val="9"/>
                <w:color w:val="auto"/>
              </w:rPr>
            </w:pPr>
          </w:p>
        </w:tc>
        <w:tc>
          <w:tcPr>
            <w:tcW w:w="3900" w:type="dxa"/>
            <w:vAlign w:val="bottom"/>
            <w:tcBorders>
              <w:right w:val="single" w:sz="8" w:color="auto"/>
            </w:tcBorders>
            <w:vMerge w:val="restart"/>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Selective buy-back</w:t>
            </w:r>
          </w:p>
        </w:tc>
        <w:tc>
          <w:tcPr>
            <w:tcW w:w="0" w:type="dxa"/>
            <w:vAlign w:val="bottom"/>
          </w:tcPr>
          <w:p>
            <w:pPr>
              <w:spacing w:after="0"/>
              <w:rPr>
                <w:sz w:val="1"/>
                <w:szCs w:val="1"/>
                <w:color w:val="auto"/>
              </w:rPr>
            </w:pPr>
          </w:p>
        </w:tc>
      </w:tr>
      <w:tr>
        <w:trPr>
          <w:trHeight w:val="142"/>
        </w:trPr>
        <w:tc>
          <w:tcPr>
            <w:tcW w:w="1240" w:type="dxa"/>
            <w:vAlign w:val="bottom"/>
            <w:tcBorders>
              <w:left w:val="single" w:sz="8" w:color="auto"/>
              <w:right w:val="single" w:sz="8" w:color="auto"/>
            </w:tcBorders>
          </w:tcPr>
          <w:p>
            <w:pPr>
              <w:spacing w:after="0"/>
              <w:rPr>
                <w:sz w:val="12"/>
                <w:szCs w:val="12"/>
                <w:color w:val="auto"/>
              </w:rPr>
            </w:pPr>
          </w:p>
        </w:tc>
        <w:tc>
          <w:tcPr>
            <w:tcW w:w="6120" w:type="dxa"/>
            <w:vAlign w:val="bottom"/>
            <w:tcBorders>
              <w:right w:val="single" w:sz="8" w:color="auto"/>
            </w:tcBorders>
          </w:tcPr>
          <w:p>
            <w:pPr>
              <w:ind w:left="60"/>
              <w:spacing w:after="0" w:line="143" w:lineRule="exact"/>
              <w:rPr>
                <w:sz w:val="20"/>
                <w:szCs w:val="20"/>
                <w:color w:val="auto"/>
              </w:rPr>
            </w:pPr>
            <w:r>
              <w:rPr>
                <w:rFonts w:ascii="Arial" w:cs="Arial" w:eastAsia="Arial" w:hAnsi="Arial"/>
                <w:sz w:val="14"/>
                <w:szCs w:val="14"/>
                <w:i w:val="1"/>
                <w:iCs w:val="1"/>
                <w:color w:val="auto"/>
              </w:rPr>
              <w:t>holding buy-back notifying ASX of the cancellation of the securities bought back in</w:t>
            </w:r>
          </w:p>
        </w:tc>
        <w:tc>
          <w:tcPr>
            <w:tcW w:w="390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63"/>
        </w:trPr>
        <w:tc>
          <w:tcPr>
            <w:tcW w:w="1240" w:type="dxa"/>
            <w:vAlign w:val="bottom"/>
            <w:tcBorders>
              <w:left w:val="single" w:sz="8" w:color="auto"/>
              <w:right w:val="single" w:sz="8" w:color="auto"/>
            </w:tcBorders>
          </w:tcPr>
          <w:p>
            <w:pPr>
              <w:spacing w:after="0"/>
              <w:rPr>
                <w:sz w:val="22"/>
                <w:szCs w:val="22"/>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accordance with listing rule 3.8A.</w:t>
            </w:r>
          </w:p>
        </w:tc>
        <w:tc>
          <w:tcPr>
            <w:tcW w:w="3900" w:type="dxa"/>
            <w:vAlign w:val="bottom"/>
            <w:tcBorders>
              <w:right w:val="single" w:sz="8" w:color="auto"/>
            </w:tcBorders>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Other buy-back</w:t>
            </w:r>
          </w:p>
        </w:tc>
        <w:tc>
          <w:tcPr>
            <w:tcW w:w="0" w:type="dxa"/>
            <w:vAlign w:val="bottom"/>
          </w:tcPr>
          <w:p>
            <w:pPr>
              <w:spacing w:after="0"/>
              <w:rPr>
                <w:sz w:val="1"/>
                <w:szCs w:val="1"/>
                <w:color w:val="auto"/>
              </w:rPr>
            </w:pPr>
          </w:p>
        </w:tc>
      </w:tr>
      <w:tr>
        <w:trPr>
          <w:trHeight w:val="188"/>
        </w:trPr>
        <w:tc>
          <w:tcPr>
            <w:tcW w:w="1240" w:type="dxa"/>
            <w:vAlign w:val="bottom"/>
            <w:tcBorders>
              <w:left w:val="single" w:sz="8" w:color="auto"/>
              <w:right w:val="single" w:sz="8" w:color="auto"/>
            </w:tcBorders>
          </w:tcPr>
          <w:p>
            <w:pPr>
              <w:spacing w:after="0"/>
              <w:rPr>
                <w:sz w:val="16"/>
                <w:szCs w:val="16"/>
                <w:color w:val="auto"/>
              </w:rPr>
            </w:pPr>
          </w:p>
        </w:tc>
        <w:tc>
          <w:tcPr>
            <w:tcW w:w="6120" w:type="dxa"/>
            <w:vAlign w:val="bottom"/>
            <w:tcBorders>
              <w:right w:val="single" w:sz="8" w:color="auto"/>
            </w:tcBorders>
          </w:tcPr>
          <w:p>
            <w:pPr>
              <w:spacing w:after="0"/>
              <w:rPr>
                <w:sz w:val="16"/>
                <w:szCs w:val="16"/>
                <w:color w:val="auto"/>
              </w:rPr>
            </w:pPr>
          </w:p>
        </w:tc>
        <w:tc>
          <w:tcPr>
            <w:tcW w:w="39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Select one item.</w:t>
            </w:r>
          </w:p>
        </w:tc>
        <w:tc>
          <w:tcPr>
            <w:tcW w:w="0" w:type="dxa"/>
            <w:vAlign w:val="bottom"/>
          </w:tcPr>
          <w:p>
            <w:pPr>
              <w:spacing w:after="0"/>
              <w:rPr>
                <w:sz w:val="1"/>
                <w:szCs w:val="1"/>
                <w:color w:val="auto"/>
              </w:rPr>
            </w:pPr>
          </w:p>
        </w:tc>
      </w:tr>
      <w:tr>
        <w:trPr>
          <w:trHeight w:val="163"/>
        </w:trPr>
        <w:tc>
          <w:tcPr>
            <w:tcW w:w="1240" w:type="dxa"/>
            <w:vAlign w:val="bottom"/>
            <w:tcBorders>
              <w:left w:val="single" w:sz="8" w:color="auto"/>
              <w:right w:val="single" w:sz="8" w:color="auto"/>
            </w:tcBorders>
          </w:tcPr>
          <w:p>
            <w:pPr>
              <w:spacing w:after="0"/>
              <w:rPr>
                <w:sz w:val="14"/>
                <w:szCs w:val="14"/>
                <w:color w:val="auto"/>
              </w:rPr>
            </w:pPr>
          </w:p>
        </w:tc>
        <w:tc>
          <w:tcPr>
            <w:tcW w:w="6120" w:type="dxa"/>
            <w:vAlign w:val="bottom"/>
            <w:tcBorders>
              <w:right w:val="single" w:sz="8" w:color="auto"/>
            </w:tcBorders>
          </w:tcPr>
          <w:p>
            <w:pPr>
              <w:spacing w:after="0"/>
              <w:rPr>
                <w:sz w:val="14"/>
                <w:szCs w:val="14"/>
                <w:color w:val="auto"/>
              </w:rPr>
            </w:pPr>
          </w:p>
        </w:tc>
        <w:tc>
          <w:tcPr>
            <w:tcW w:w="39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Note: “Other buy-back” does not include a minimum</w:t>
            </w:r>
          </w:p>
        </w:tc>
        <w:tc>
          <w:tcPr>
            <w:tcW w:w="0" w:type="dxa"/>
            <w:vAlign w:val="bottom"/>
          </w:tcPr>
          <w:p>
            <w:pPr>
              <w:spacing w:after="0"/>
              <w:rPr>
                <w:sz w:val="1"/>
                <w:szCs w:val="1"/>
                <w:color w:val="auto"/>
              </w:rPr>
            </w:pPr>
          </w:p>
        </w:tc>
      </w:tr>
      <w:tr>
        <w:trPr>
          <w:trHeight w:val="142"/>
        </w:trPr>
        <w:tc>
          <w:tcPr>
            <w:tcW w:w="1240" w:type="dxa"/>
            <w:vAlign w:val="bottom"/>
            <w:tcBorders>
              <w:left w:val="single" w:sz="8" w:color="auto"/>
              <w:right w:val="single" w:sz="8" w:color="auto"/>
            </w:tcBorders>
          </w:tcPr>
          <w:p>
            <w:pPr>
              <w:spacing w:after="0"/>
              <w:rPr>
                <w:sz w:val="12"/>
                <w:szCs w:val="12"/>
                <w:color w:val="auto"/>
              </w:rPr>
            </w:pPr>
          </w:p>
        </w:tc>
        <w:tc>
          <w:tcPr>
            <w:tcW w:w="6120" w:type="dxa"/>
            <w:vAlign w:val="bottom"/>
            <w:tcBorders>
              <w:right w:val="single" w:sz="8" w:color="auto"/>
            </w:tcBorders>
          </w:tcPr>
          <w:p>
            <w:pPr>
              <w:spacing w:after="0"/>
              <w:rPr>
                <w:sz w:val="12"/>
                <w:szCs w:val="12"/>
                <w:color w:val="auto"/>
              </w:rPr>
            </w:pPr>
          </w:p>
        </w:tc>
        <w:tc>
          <w:tcPr>
            <w:tcW w:w="3900" w:type="dxa"/>
            <w:vAlign w:val="bottom"/>
            <w:tcBorders>
              <w:right w:val="single" w:sz="8" w:color="auto"/>
            </w:tcBorders>
          </w:tcPr>
          <w:p>
            <w:pPr>
              <w:ind w:left="60"/>
              <w:spacing w:after="0" w:line="143" w:lineRule="exact"/>
              <w:rPr>
                <w:sz w:val="20"/>
                <w:szCs w:val="20"/>
                <w:color w:val="auto"/>
              </w:rPr>
            </w:pPr>
            <w:r>
              <w:rPr>
                <w:rFonts w:ascii="Arial" w:cs="Arial" w:eastAsia="Arial" w:hAnsi="Arial"/>
                <w:sz w:val="14"/>
                <w:szCs w:val="14"/>
                <w:i w:val="1"/>
                <w:iCs w:val="1"/>
                <w:color w:val="auto"/>
              </w:rPr>
              <w:t>holding buy-back. The section “Other buy-back” will</w:t>
            </w:r>
          </w:p>
        </w:tc>
        <w:tc>
          <w:tcPr>
            <w:tcW w:w="0" w:type="dxa"/>
            <w:vAlign w:val="bottom"/>
          </w:tcPr>
          <w:p>
            <w:pPr>
              <w:spacing w:after="0"/>
              <w:rPr>
                <w:sz w:val="1"/>
                <w:szCs w:val="1"/>
                <w:color w:val="auto"/>
              </w:rPr>
            </w:pPr>
          </w:p>
        </w:tc>
      </w:tr>
      <w:tr>
        <w:trPr>
          <w:trHeight w:val="141"/>
        </w:trPr>
        <w:tc>
          <w:tcPr>
            <w:tcW w:w="1240" w:type="dxa"/>
            <w:vAlign w:val="bottom"/>
            <w:tcBorders>
              <w:left w:val="single" w:sz="8" w:color="auto"/>
              <w:right w:val="single" w:sz="8" w:color="auto"/>
            </w:tcBorders>
          </w:tcPr>
          <w:p>
            <w:pPr>
              <w:spacing w:after="0"/>
              <w:rPr>
                <w:sz w:val="12"/>
                <w:szCs w:val="12"/>
                <w:color w:val="auto"/>
              </w:rPr>
            </w:pPr>
          </w:p>
        </w:tc>
        <w:tc>
          <w:tcPr>
            <w:tcW w:w="6120" w:type="dxa"/>
            <w:vAlign w:val="bottom"/>
            <w:tcBorders>
              <w:right w:val="single" w:sz="8" w:color="auto"/>
            </w:tcBorders>
          </w:tcPr>
          <w:p>
            <w:pPr>
              <w:spacing w:after="0"/>
              <w:rPr>
                <w:sz w:val="12"/>
                <w:szCs w:val="12"/>
                <w:color w:val="auto"/>
              </w:rPr>
            </w:pPr>
          </w:p>
        </w:tc>
        <w:tc>
          <w:tcPr>
            <w:tcW w:w="3900" w:type="dxa"/>
            <w:vAlign w:val="bottom"/>
            <w:tcBorders>
              <w:right w:val="single" w:sz="8" w:color="auto"/>
            </w:tcBorders>
          </w:tcPr>
          <w:p>
            <w:pPr>
              <w:ind w:left="60"/>
              <w:spacing w:after="0" w:line="141" w:lineRule="exact"/>
              <w:rPr>
                <w:sz w:val="20"/>
                <w:szCs w:val="20"/>
                <w:color w:val="auto"/>
              </w:rPr>
            </w:pPr>
            <w:r>
              <w:rPr>
                <w:rFonts w:ascii="Arial" w:cs="Arial" w:eastAsia="Arial" w:hAnsi="Arial"/>
                <w:sz w:val="14"/>
                <w:szCs w:val="14"/>
                <w:i w:val="1"/>
                <w:iCs w:val="1"/>
                <w:color w:val="auto"/>
              </w:rPr>
              <w:t>generally only be applicable to an entity established</w:t>
            </w:r>
          </w:p>
        </w:tc>
        <w:tc>
          <w:tcPr>
            <w:tcW w:w="0" w:type="dxa"/>
            <w:vAlign w:val="bottom"/>
          </w:tcPr>
          <w:p>
            <w:pPr>
              <w:spacing w:after="0"/>
              <w:rPr>
                <w:sz w:val="1"/>
                <w:szCs w:val="1"/>
                <w:color w:val="auto"/>
              </w:rPr>
            </w:pPr>
          </w:p>
        </w:tc>
      </w:tr>
      <w:tr>
        <w:trPr>
          <w:trHeight w:val="188"/>
        </w:trPr>
        <w:tc>
          <w:tcPr>
            <w:tcW w:w="1240" w:type="dxa"/>
            <w:vAlign w:val="bottom"/>
            <w:tcBorders>
              <w:left w:val="single" w:sz="8" w:color="auto"/>
              <w:right w:val="single" w:sz="8" w:color="auto"/>
            </w:tcBorders>
          </w:tcPr>
          <w:p>
            <w:pPr>
              <w:spacing w:after="0"/>
              <w:rPr>
                <w:sz w:val="16"/>
                <w:szCs w:val="16"/>
                <w:color w:val="auto"/>
              </w:rPr>
            </w:pPr>
          </w:p>
        </w:tc>
        <w:tc>
          <w:tcPr>
            <w:tcW w:w="6120" w:type="dxa"/>
            <w:vAlign w:val="bottom"/>
            <w:tcBorders>
              <w:right w:val="single" w:sz="8" w:color="auto"/>
            </w:tcBorders>
          </w:tcPr>
          <w:p>
            <w:pPr>
              <w:spacing w:after="0"/>
              <w:rPr>
                <w:sz w:val="16"/>
                <w:szCs w:val="16"/>
                <w:color w:val="auto"/>
              </w:rPr>
            </w:pPr>
          </w:p>
        </w:tc>
        <w:tc>
          <w:tcPr>
            <w:tcW w:w="39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outside Australia.</w:t>
            </w:r>
          </w:p>
        </w:tc>
        <w:tc>
          <w:tcPr>
            <w:tcW w:w="0" w:type="dxa"/>
            <w:vAlign w:val="bottom"/>
          </w:tcPr>
          <w:p>
            <w:pPr>
              <w:spacing w:after="0"/>
              <w:rPr>
                <w:sz w:val="1"/>
                <w:szCs w:val="1"/>
                <w:color w:val="auto"/>
              </w:rPr>
            </w:pPr>
          </w:p>
        </w:tc>
      </w:tr>
      <w:tr>
        <w:trPr>
          <w:trHeight w:val="62"/>
        </w:trPr>
        <w:tc>
          <w:tcPr>
            <w:tcW w:w="1240" w:type="dxa"/>
            <w:vAlign w:val="bottom"/>
            <w:tcBorders>
              <w:left w:val="single" w:sz="8" w:color="auto"/>
              <w:bottom w:val="single" w:sz="8" w:color="auto"/>
              <w:right w:val="single" w:sz="8" w:color="auto"/>
            </w:tcBorders>
          </w:tcPr>
          <w:p>
            <w:pPr>
              <w:spacing w:after="0"/>
              <w:rPr>
                <w:sz w:val="5"/>
                <w:szCs w:val="5"/>
                <w:color w:val="auto"/>
              </w:rPr>
            </w:pPr>
          </w:p>
        </w:tc>
        <w:tc>
          <w:tcPr>
            <w:tcW w:w="6120" w:type="dxa"/>
            <w:vAlign w:val="bottom"/>
            <w:tcBorders>
              <w:bottom w:val="single" w:sz="8" w:color="auto"/>
              <w:right w:val="single" w:sz="8" w:color="auto"/>
            </w:tcBorders>
          </w:tcPr>
          <w:p>
            <w:pPr>
              <w:spacing w:after="0"/>
              <w:rPr>
                <w:sz w:val="5"/>
                <w:szCs w:val="5"/>
                <w:color w:val="auto"/>
              </w:rPr>
            </w:pPr>
          </w:p>
        </w:tc>
        <w:tc>
          <w:tcPr>
            <w:tcW w:w="39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12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2.2</w:t>
            </w: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Please describe the type of buy-back</w:t>
            </w:r>
          </w:p>
        </w:tc>
        <w:tc>
          <w:tcPr>
            <w:tcW w:w="39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Repurchase program for up to an aggregate of</w:t>
            </w:r>
          </w:p>
        </w:tc>
        <w:tc>
          <w:tcPr>
            <w:tcW w:w="0" w:type="dxa"/>
            <w:vAlign w:val="bottom"/>
          </w:tcPr>
          <w:p>
            <w:pPr>
              <w:spacing w:after="0"/>
              <w:rPr>
                <w:sz w:val="1"/>
                <w:szCs w:val="1"/>
                <w:color w:val="auto"/>
              </w:rPr>
            </w:pPr>
          </w:p>
        </w:tc>
      </w:tr>
      <w:tr>
        <w:trPr>
          <w:trHeight w:val="122"/>
        </w:trPr>
        <w:tc>
          <w:tcPr>
            <w:tcW w:w="1240" w:type="dxa"/>
            <w:vAlign w:val="bottom"/>
            <w:tcBorders>
              <w:left w:val="single" w:sz="8" w:color="auto"/>
              <w:right w:val="single" w:sz="8" w:color="auto"/>
            </w:tcBorders>
          </w:tcPr>
          <w:p>
            <w:pPr>
              <w:spacing w:after="0"/>
              <w:rPr>
                <w:sz w:val="10"/>
                <w:szCs w:val="10"/>
                <w:color w:val="auto"/>
              </w:rPr>
            </w:pPr>
          </w:p>
        </w:tc>
        <w:tc>
          <w:tcPr>
            <w:tcW w:w="6120" w:type="dxa"/>
            <w:vAlign w:val="bottom"/>
            <w:tcBorders>
              <w:right w:val="single" w:sz="8" w:color="auto"/>
            </w:tcBorders>
            <w:vMerge w:val="restart"/>
          </w:tcPr>
          <w:p>
            <w:pPr>
              <w:ind w:left="60"/>
              <w:spacing w:after="0"/>
              <w:rPr>
                <w:sz w:val="20"/>
                <w:szCs w:val="20"/>
                <w:color w:val="auto"/>
              </w:rPr>
            </w:pPr>
            <w:r>
              <w:rPr>
                <w:rFonts w:ascii="Arial" w:cs="Arial" w:eastAsia="Arial" w:hAnsi="Arial"/>
                <w:sz w:val="14"/>
                <w:szCs w:val="14"/>
                <w:i w:val="1"/>
                <w:iCs w:val="1"/>
                <w:color w:val="auto"/>
              </w:rPr>
              <w:t>Answer this question if your response to Q 2.1 is “Other buy-back”.</w:t>
            </w:r>
          </w:p>
        </w:tc>
        <w:tc>
          <w:tcPr>
            <w:tcW w:w="3900" w:type="dxa"/>
            <w:vAlign w:val="bottom"/>
            <w:tcBorders>
              <w:right w:val="single" w:sz="8" w:color="auto"/>
            </w:tcBorders>
          </w:tcPr>
          <w:p>
            <w:pPr>
              <w:ind w:left="60"/>
              <w:spacing w:after="0" w:line="122" w:lineRule="exact"/>
              <w:rPr>
                <w:sz w:val="20"/>
                <w:szCs w:val="20"/>
                <w:color w:val="auto"/>
              </w:rPr>
            </w:pPr>
            <w:r>
              <w:rPr>
                <w:rFonts w:ascii="Arial" w:cs="Arial" w:eastAsia="Arial" w:hAnsi="Arial"/>
                <w:sz w:val="13"/>
                <w:szCs w:val="13"/>
                <w:color w:val="auto"/>
              </w:rPr>
              <w:t>US$1 billion of the Company’s Nasdaq-listed</w:t>
            </w:r>
          </w:p>
        </w:tc>
        <w:tc>
          <w:tcPr>
            <w:tcW w:w="0" w:type="dxa"/>
            <w:vAlign w:val="bottom"/>
          </w:tcPr>
          <w:p>
            <w:pPr>
              <w:spacing w:after="0"/>
              <w:rPr>
                <w:sz w:val="1"/>
                <w:szCs w:val="1"/>
                <w:color w:val="auto"/>
              </w:rPr>
            </w:pPr>
          </w:p>
        </w:tc>
      </w:tr>
      <w:tr>
        <w:trPr>
          <w:trHeight w:val="127"/>
        </w:trPr>
        <w:tc>
          <w:tcPr>
            <w:tcW w:w="1240" w:type="dxa"/>
            <w:vAlign w:val="bottom"/>
            <w:tcBorders>
              <w:left w:val="single" w:sz="8" w:color="auto"/>
              <w:right w:val="single" w:sz="8" w:color="auto"/>
            </w:tcBorders>
          </w:tcPr>
          <w:p>
            <w:pPr>
              <w:spacing w:after="0"/>
              <w:rPr>
                <w:sz w:val="11"/>
                <w:szCs w:val="11"/>
                <w:color w:val="auto"/>
              </w:rPr>
            </w:pPr>
          </w:p>
        </w:tc>
        <w:tc>
          <w:tcPr>
            <w:tcW w:w="6120" w:type="dxa"/>
            <w:vAlign w:val="bottom"/>
            <w:tcBorders>
              <w:right w:val="single" w:sz="8" w:color="auto"/>
            </w:tcBorders>
            <w:vMerge w:val="continue"/>
          </w:tcPr>
          <w:p>
            <w:pPr>
              <w:spacing w:after="0"/>
              <w:rPr>
                <w:sz w:val="11"/>
                <w:szCs w:val="11"/>
                <w:color w:val="auto"/>
              </w:rPr>
            </w:pPr>
          </w:p>
        </w:tc>
        <w:tc>
          <w:tcPr>
            <w:tcW w:w="3900" w:type="dxa"/>
            <w:vAlign w:val="bottom"/>
            <w:tcBorders>
              <w:right w:val="single" w:sz="8" w:color="auto"/>
            </w:tcBorders>
            <w:vMerge w:val="restart"/>
          </w:tcPr>
          <w:p>
            <w:pPr>
              <w:ind w:left="60"/>
              <w:spacing w:after="0" w:line="183" w:lineRule="exact"/>
              <w:rPr>
                <w:sz w:val="20"/>
                <w:szCs w:val="20"/>
                <w:color w:val="auto"/>
              </w:rPr>
            </w:pPr>
            <w:r>
              <w:rPr>
                <w:rFonts w:ascii="Arial" w:cs="Arial" w:eastAsia="Arial" w:hAnsi="Arial"/>
                <w:sz w:val="18"/>
                <w:szCs w:val="18"/>
                <w:color w:val="auto"/>
              </w:rPr>
              <w:t>Class A common stock and Class B common</w:t>
            </w:r>
          </w:p>
        </w:tc>
        <w:tc>
          <w:tcPr>
            <w:tcW w:w="0" w:type="dxa"/>
            <w:vAlign w:val="bottom"/>
          </w:tcPr>
          <w:p>
            <w:pPr>
              <w:spacing w:after="0"/>
              <w:rPr>
                <w:sz w:val="1"/>
                <w:szCs w:val="1"/>
                <w:color w:val="auto"/>
              </w:rPr>
            </w:pPr>
          </w:p>
        </w:tc>
      </w:tr>
      <w:tr>
        <w:trPr>
          <w:trHeight w:val="57"/>
        </w:trPr>
        <w:tc>
          <w:tcPr>
            <w:tcW w:w="1240" w:type="dxa"/>
            <w:vAlign w:val="bottom"/>
            <w:tcBorders>
              <w:left w:val="single" w:sz="8" w:color="auto"/>
              <w:right w:val="single" w:sz="8" w:color="auto"/>
            </w:tcBorders>
          </w:tcPr>
          <w:p>
            <w:pPr>
              <w:spacing w:after="0"/>
              <w:rPr>
                <w:sz w:val="4"/>
                <w:szCs w:val="4"/>
                <w:color w:val="auto"/>
              </w:rPr>
            </w:pPr>
          </w:p>
        </w:tc>
        <w:tc>
          <w:tcPr>
            <w:tcW w:w="6120" w:type="dxa"/>
            <w:vAlign w:val="bottom"/>
            <w:tcBorders>
              <w:right w:val="single" w:sz="8" w:color="auto"/>
            </w:tcBorders>
          </w:tcPr>
          <w:p>
            <w:pPr>
              <w:spacing w:after="0"/>
              <w:rPr>
                <w:sz w:val="4"/>
                <w:szCs w:val="4"/>
                <w:color w:val="auto"/>
              </w:rPr>
            </w:pPr>
          </w:p>
        </w:tc>
        <w:tc>
          <w:tcPr>
            <w:tcW w:w="390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1240" w:type="dxa"/>
            <w:vAlign w:val="bottom"/>
            <w:tcBorders>
              <w:left w:val="single" w:sz="8" w:color="auto"/>
              <w:right w:val="single" w:sz="8" w:color="auto"/>
            </w:tcBorders>
          </w:tcPr>
          <w:p>
            <w:pPr>
              <w:spacing w:after="0"/>
              <w:rPr>
                <w:sz w:val="15"/>
                <w:szCs w:val="15"/>
                <w:color w:val="auto"/>
              </w:rPr>
            </w:pPr>
          </w:p>
        </w:tc>
        <w:tc>
          <w:tcPr>
            <w:tcW w:w="6120" w:type="dxa"/>
            <w:vAlign w:val="bottom"/>
            <w:tcBorders>
              <w:right w:val="single" w:sz="8" w:color="auto"/>
            </w:tcBorders>
          </w:tcPr>
          <w:p>
            <w:pPr>
              <w:spacing w:after="0"/>
              <w:rPr>
                <w:sz w:val="15"/>
                <w:szCs w:val="15"/>
                <w:color w:val="auto"/>
              </w:rPr>
            </w:pPr>
          </w:p>
        </w:tc>
        <w:tc>
          <w:tcPr>
            <w:tcW w:w="3900" w:type="dxa"/>
            <w:vAlign w:val="bottom"/>
            <w:tcBorders>
              <w:right w:val="single" w:sz="8" w:color="auto"/>
            </w:tcBorders>
          </w:tcPr>
          <w:p>
            <w:pPr>
              <w:ind w:left="60"/>
              <w:spacing w:after="0" w:line="181" w:lineRule="exact"/>
              <w:rPr>
                <w:sz w:val="20"/>
                <w:szCs w:val="20"/>
                <w:color w:val="auto"/>
              </w:rPr>
            </w:pPr>
            <w:r>
              <w:rPr>
                <w:rFonts w:ascii="Arial" w:cs="Arial" w:eastAsia="Arial" w:hAnsi="Arial"/>
                <w:sz w:val="18"/>
                <w:szCs w:val="18"/>
                <w:color w:val="auto"/>
              </w:rPr>
              <w:t>stock authorized as of July 15, 2025 (the “2025</w:t>
            </w:r>
          </w:p>
        </w:tc>
        <w:tc>
          <w:tcPr>
            <w:tcW w:w="0" w:type="dxa"/>
            <w:vAlign w:val="bottom"/>
          </w:tcPr>
          <w:p>
            <w:pPr>
              <w:spacing w:after="0"/>
              <w:rPr>
                <w:sz w:val="1"/>
                <w:szCs w:val="1"/>
                <w:color w:val="auto"/>
              </w:rPr>
            </w:pPr>
          </w:p>
        </w:tc>
      </w:tr>
      <w:tr>
        <w:trPr>
          <w:trHeight w:val="176"/>
        </w:trPr>
        <w:tc>
          <w:tcPr>
            <w:tcW w:w="1240" w:type="dxa"/>
            <w:vAlign w:val="bottom"/>
            <w:tcBorders>
              <w:left w:val="single" w:sz="8" w:color="auto"/>
              <w:right w:val="single" w:sz="8" w:color="auto"/>
            </w:tcBorders>
          </w:tcPr>
          <w:p>
            <w:pPr>
              <w:spacing w:after="0"/>
              <w:rPr>
                <w:sz w:val="15"/>
                <w:szCs w:val="15"/>
                <w:color w:val="auto"/>
              </w:rPr>
            </w:pPr>
          </w:p>
        </w:tc>
        <w:tc>
          <w:tcPr>
            <w:tcW w:w="6120" w:type="dxa"/>
            <w:vAlign w:val="bottom"/>
            <w:tcBorders>
              <w:right w:val="single" w:sz="8" w:color="auto"/>
            </w:tcBorders>
          </w:tcPr>
          <w:p>
            <w:pPr>
              <w:spacing w:after="0"/>
              <w:rPr>
                <w:sz w:val="15"/>
                <w:szCs w:val="15"/>
                <w:color w:val="auto"/>
              </w:rPr>
            </w:pPr>
          </w:p>
        </w:tc>
        <w:tc>
          <w:tcPr>
            <w:tcW w:w="3900" w:type="dxa"/>
            <w:vAlign w:val="bottom"/>
            <w:tcBorders>
              <w:right w:val="single" w:sz="8" w:color="auto"/>
            </w:tcBorders>
          </w:tcPr>
          <w:p>
            <w:pPr>
              <w:ind w:left="60"/>
              <w:spacing w:after="0" w:line="176" w:lineRule="exact"/>
              <w:rPr>
                <w:sz w:val="20"/>
                <w:szCs w:val="20"/>
                <w:color w:val="auto"/>
              </w:rPr>
            </w:pPr>
            <w:r>
              <w:rPr>
                <w:rFonts w:ascii="Arial" w:cs="Arial" w:eastAsia="Arial" w:hAnsi="Arial"/>
                <w:sz w:val="18"/>
                <w:szCs w:val="18"/>
                <w:color w:val="auto"/>
              </w:rPr>
              <w:t>Repurchase Program”). Subject to market</w:t>
            </w:r>
          </w:p>
        </w:tc>
        <w:tc>
          <w:tcPr>
            <w:tcW w:w="0" w:type="dxa"/>
            <w:vAlign w:val="bottom"/>
          </w:tcPr>
          <w:p>
            <w:pPr>
              <w:spacing w:after="0"/>
              <w:rPr>
                <w:sz w:val="1"/>
                <w:szCs w:val="1"/>
                <w:color w:val="auto"/>
              </w:rPr>
            </w:pPr>
          </w:p>
        </w:tc>
      </w:tr>
      <w:tr>
        <w:trPr>
          <w:trHeight w:val="184"/>
        </w:trPr>
        <w:tc>
          <w:tcPr>
            <w:tcW w:w="1240" w:type="dxa"/>
            <w:vAlign w:val="bottom"/>
            <w:tcBorders>
              <w:left w:val="single" w:sz="8" w:color="auto"/>
              <w:right w:val="single" w:sz="8" w:color="auto"/>
            </w:tcBorders>
          </w:tcPr>
          <w:p>
            <w:pPr>
              <w:spacing w:after="0"/>
              <w:rPr>
                <w:sz w:val="15"/>
                <w:szCs w:val="15"/>
                <w:color w:val="auto"/>
              </w:rPr>
            </w:pPr>
          </w:p>
        </w:tc>
        <w:tc>
          <w:tcPr>
            <w:tcW w:w="6120" w:type="dxa"/>
            <w:vAlign w:val="bottom"/>
            <w:tcBorders>
              <w:right w:val="single" w:sz="8" w:color="auto"/>
            </w:tcBorders>
          </w:tcPr>
          <w:p>
            <w:pPr>
              <w:spacing w:after="0"/>
              <w:rPr>
                <w:sz w:val="15"/>
                <w:szCs w:val="15"/>
                <w:color w:val="auto"/>
              </w:rPr>
            </w:pPr>
          </w:p>
        </w:tc>
        <w:tc>
          <w:tcPr>
            <w:tcW w:w="3900" w:type="dxa"/>
            <w:vAlign w:val="bottom"/>
            <w:tcBorders>
              <w:right w:val="single" w:sz="8" w:color="auto"/>
            </w:tcBorders>
          </w:tcPr>
          <w:p>
            <w:pPr>
              <w:ind w:left="60"/>
              <w:spacing w:after="0" w:line="183" w:lineRule="exact"/>
              <w:rPr>
                <w:sz w:val="20"/>
                <w:szCs w:val="20"/>
                <w:color w:val="auto"/>
              </w:rPr>
            </w:pPr>
            <w:r>
              <w:rPr>
                <w:rFonts w:ascii="Arial" w:cs="Arial" w:eastAsia="Arial" w:hAnsi="Arial"/>
                <w:sz w:val="18"/>
                <w:szCs w:val="18"/>
                <w:color w:val="auto"/>
              </w:rPr>
              <w:t>conditions and the market price of the</w:t>
            </w:r>
          </w:p>
        </w:tc>
        <w:tc>
          <w:tcPr>
            <w:tcW w:w="0" w:type="dxa"/>
            <w:vAlign w:val="bottom"/>
          </w:tcPr>
          <w:p>
            <w:pPr>
              <w:spacing w:after="0"/>
              <w:rPr>
                <w:sz w:val="1"/>
                <w:szCs w:val="1"/>
                <w:color w:val="auto"/>
              </w:rPr>
            </w:pPr>
          </w:p>
        </w:tc>
      </w:tr>
      <w:tr>
        <w:trPr>
          <w:trHeight w:val="181"/>
        </w:trPr>
        <w:tc>
          <w:tcPr>
            <w:tcW w:w="1240" w:type="dxa"/>
            <w:vAlign w:val="bottom"/>
            <w:tcBorders>
              <w:left w:val="single" w:sz="8" w:color="auto"/>
              <w:right w:val="single" w:sz="8" w:color="auto"/>
            </w:tcBorders>
          </w:tcPr>
          <w:p>
            <w:pPr>
              <w:spacing w:after="0"/>
              <w:rPr>
                <w:sz w:val="15"/>
                <w:szCs w:val="15"/>
                <w:color w:val="auto"/>
              </w:rPr>
            </w:pPr>
          </w:p>
        </w:tc>
        <w:tc>
          <w:tcPr>
            <w:tcW w:w="6120" w:type="dxa"/>
            <w:vAlign w:val="bottom"/>
            <w:tcBorders>
              <w:right w:val="single" w:sz="8" w:color="auto"/>
            </w:tcBorders>
          </w:tcPr>
          <w:p>
            <w:pPr>
              <w:spacing w:after="0"/>
              <w:rPr>
                <w:sz w:val="15"/>
                <w:szCs w:val="15"/>
                <w:color w:val="auto"/>
              </w:rPr>
            </w:pPr>
          </w:p>
        </w:tc>
        <w:tc>
          <w:tcPr>
            <w:tcW w:w="3900" w:type="dxa"/>
            <w:vAlign w:val="bottom"/>
            <w:tcBorders>
              <w:right w:val="single" w:sz="8" w:color="auto"/>
            </w:tcBorders>
          </w:tcPr>
          <w:p>
            <w:pPr>
              <w:ind w:left="60"/>
              <w:spacing w:after="0" w:line="181" w:lineRule="exact"/>
              <w:rPr>
                <w:sz w:val="20"/>
                <w:szCs w:val="20"/>
                <w:color w:val="auto"/>
              </w:rPr>
            </w:pPr>
            <w:r>
              <w:rPr>
                <w:rFonts w:ascii="Arial" w:cs="Arial" w:eastAsia="Arial" w:hAnsi="Arial"/>
                <w:sz w:val="18"/>
                <w:szCs w:val="18"/>
                <w:color w:val="auto"/>
              </w:rPr>
              <w:t>Company’s stock, as well as other factors, the</w:t>
            </w:r>
          </w:p>
        </w:tc>
        <w:tc>
          <w:tcPr>
            <w:tcW w:w="0" w:type="dxa"/>
            <w:vAlign w:val="bottom"/>
          </w:tcPr>
          <w:p>
            <w:pPr>
              <w:spacing w:after="0"/>
              <w:rPr>
                <w:sz w:val="1"/>
                <w:szCs w:val="1"/>
                <w:color w:val="auto"/>
              </w:rPr>
            </w:pPr>
          </w:p>
        </w:tc>
      </w:tr>
      <w:tr>
        <w:trPr>
          <w:trHeight w:val="176"/>
        </w:trPr>
        <w:tc>
          <w:tcPr>
            <w:tcW w:w="1240" w:type="dxa"/>
            <w:vAlign w:val="bottom"/>
            <w:tcBorders>
              <w:left w:val="single" w:sz="8" w:color="auto"/>
              <w:right w:val="single" w:sz="8" w:color="auto"/>
            </w:tcBorders>
          </w:tcPr>
          <w:p>
            <w:pPr>
              <w:spacing w:after="0"/>
              <w:rPr>
                <w:sz w:val="15"/>
                <w:szCs w:val="15"/>
                <w:color w:val="auto"/>
              </w:rPr>
            </w:pPr>
          </w:p>
        </w:tc>
        <w:tc>
          <w:tcPr>
            <w:tcW w:w="6120" w:type="dxa"/>
            <w:vAlign w:val="bottom"/>
            <w:tcBorders>
              <w:right w:val="single" w:sz="8" w:color="auto"/>
            </w:tcBorders>
          </w:tcPr>
          <w:p>
            <w:pPr>
              <w:spacing w:after="0"/>
              <w:rPr>
                <w:sz w:val="15"/>
                <w:szCs w:val="15"/>
                <w:color w:val="auto"/>
              </w:rPr>
            </w:pPr>
          </w:p>
        </w:tc>
        <w:tc>
          <w:tcPr>
            <w:tcW w:w="3900" w:type="dxa"/>
            <w:vAlign w:val="bottom"/>
            <w:tcBorders>
              <w:right w:val="single" w:sz="8" w:color="auto"/>
            </w:tcBorders>
          </w:tcPr>
          <w:p>
            <w:pPr>
              <w:ind w:left="60"/>
              <w:spacing w:after="0" w:line="176" w:lineRule="exact"/>
              <w:rPr>
                <w:sz w:val="20"/>
                <w:szCs w:val="20"/>
                <w:color w:val="auto"/>
              </w:rPr>
            </w:pPr>
            <w:r>
              <w:rPr>
                <w:rFonts w:ascii="Arial" w:cs="Arial" w:eastAsia="Arial" w:hAnsi="Arial"/>
                <w:sz w:val="18"/>
                <w:szCs w:val="18"/>
                <w:color w:val="auto"/>
              </w:rPr>
              <w:t>Company intends to repurchase, from time to</w:t>
            </w:r>
          </w:p>
        </w:tc>
        <w:tc>
          <w:tcPr>
            <w:tcW w:w="0" w:type="dxa"/>
            <w:vAlign w:val="bottom"/>
          </w:tcPr>
          <w:p>
            <w:pPr>
              <w:spacing w:after="0"/>
              <w:rPr>
                <w:sz w:val="1"/>
                <w:szCs w:val="1"/>
                <w:color w:val="auto"/>
              </w:rPr>
            </w:pPr>
          </w:p>
        </w:tc>
      </w:tr>
      <w:tr>
        <w:trPr>
          <w:trHeight w:val="184"/>
        </w:trPr>
        <w:tc>
          <w:tcPr>
            <w:tcW w:w="1240" w:type="dxa"/>
            <w:vAlign w:val="bottom"/>
            <w:tcBorders>
              <w:left w:val="single" w:sz="8" w:color="auto"/>
              <w:right w:val="single" w:sz="8" w:color="auto"/>
            </w:tcBorders>
          </w:tcPr>
          <w:p>
            <w:pPr>
              <w:spacing w:after="0"/>
              <w:rPr>
                <w:sz w:val="15"/>
                <w:szCs w:val="15"/>
                <w:color w:val="auto"/>
              </w:rPr>
            </w:pPr>
          </w:p>
        </w:tc>
        <w:tc>
          <w:tcPr>
            <w:tcW w:w="6120" w:type="dxa"/>
            <w:vAlign w:val="bottom"/>
            <w:tcBorders>
              <w:right w:val="single" w:sz="8" w:color="auto"/>
            </w:tcBorders>
          </w:tcPr>
          <w:p>
            <w:pPr>
              <w:spacing w:after="0"/>
              <w:rPr>
                <w:sz w:val="15"/>
                <w:szCs w:val="15"/>
                <w:color w:val="auto"/>
              </w:rPr>
            </w:pPr>
          </w:p>
        </w:tc>
        <w:tc>
          <w:tcPr>
            <w:tcW w:w="3900" w:type="dxa"/>
            <w:vAlign w:val="bottom"/>
            <w:tcBorders>
              <w:right w:val="single" w:sz="8" w:color="auto"/>
            </w:tcBorders>
          </w:tcPr>
          <w:p>
            <w:pPr>
              <w:ind w:left="60"/>
              <w:spacing w:after="0" w:line="183" w:lineRule="exact"/>
              <w:rPr>
                <w:sz w:val="20"/>
                <w:szCs w:val="20"/>
                <w:color w:val="auto"/>
              </w:rPr>
            </w:pPr>
            <w:r>
              <w:rPr>
                <w:rFonts w:ascii="Arial" w:cs="Arial" w:eastAsia="Arial" w:hAnsi="Arial"/>
                <w:sz w:val="18"/>
                <w:szCs w:val="18"/>
                <w:color w:val="auto"/>
              </w:rPr>
              <w:t>time, in the open market or otherwise, a</w:t>
            </w:r>
          </w:p>
        </w:tc>
        <w:tc>
          <w:tcPr>
            <w:tcW w:w="0" w:type="dxa"/>
            <w:vAlign w:val="bottom"/>
          </w:tcPr>
          <w:p>
            <w:pPr>
              <w:spacing w:after="0"/>
              <w:rPr>
                <w:sz w:val="1"/>
                <w:szCs w:val="1"/>
                <w:color w:val="auto"/>
              </w:rPr>
            </w:pPr>
          </w:p>
        </w:tc>
      </w:tr>
      <w:tr>
        <w:trPr>
          <w:trHeight w:val="181"/>
        </w:trPr>
        <w:tc>
          <w:tcPr>
            <w:tcW w:w="1240" w:type="dxa"/>
            <w:vAlign w:val="bottom"/>
            <w:tcBorders>
              <w:left w:val="single" w:sz="8" w:color="auto"/>
              <w:right w:val="single" w:sz="8" w:color="auto"/>
            </w:tcBorders>
          </w:tcPr>
          <w:p>
            <w:pPr>
              <w:spacing w:after="0"/>
              <w:rPr>
                <w:sz w:val="15"/>
                <w:szCs w:val="15"/>
                <w:color w:val="auto"/>
              </w:rPr>
            </w:pPr>
          </w:p>
        </w:tc>
        <w:tc>
          <w:tcPr>
            <w:tcW w:w="6120" w:type="dxa"/>
            <w:vAlign w:val="bottom"/>
            <w:tcBorders>
              <w:right w:val="single" w:sz="8" w:color="auto"/>
            </w:tcBorders>
          </w:tcPr>
          <w:p>
            <w:pPr>
              <w:spacing w:after="0"/>
              <w:rPr>
                <w:sz w:val="15"/>
                <w:szCs w:val="15"/>
                <w:color w:val="auto"/>
              </w:rPr>
            </w:pPr>
          </w:p>
        </w:tc>
        <w:tc>
          <w:tcPr>
            <w:tcW w:w="3900" w:type="dxa"/>
            <w:vAlign w:val="bottom"/>
            <w:tcBorders>
              <w:right w:val="single" w:sz="8" w:color="auto"/>
            </w:tcBorders>
          </w:tcPr>
          <w:p>
            <w:pPr>
              <w:ind w:left="60"/>
              <w:spacing w:after="0" w:line="181" w:lineRule="exact"/>
              <w:rPr>
                <w:sz w:val="20"/>
                <w:szCs w:val="20"/>
                <w:color w:val="auto"/>
              </w:rPr>
            </w:pPr>
            <w:r>
              <w:rPr>
                <w:rFonts w:ascii="Arial" w:cs="Arial" w:eastAsia="Arial" w:hAnsi="Arial"/>
                <w:sz w:val="18"/>
                <w:szCs w:val="18"/>
                <w:color w:val="auto"/>
              </w:rPr>
              <w:t>combination of the Company’s Class A</w:t>
            </w:r>
          </w:p>
        </w:tc>
        <w:tc>
          <w:tcPr>
            <w:tcW w:w="0" w:type="dxa"/>
            <w:vAlign w:val="bottom"/>
          </w:tcPr>
          <w:p>
            <w:pPr>
              <w:spacing w:after="0"/>
              <w:rPr>
                <w:sz w:val="1"/>
                <w:szCs w:val="1"/>
                <w:color w:val="auto"/>
              </w:rPr>
            </w:pPr>
          </w:p>
        </w:tc>
      </w:tr>
      <w:tr>
        <w:trPr>
          <w:trHeight w:val="176"/>
        </w:trPr>
        <w:tc>
          <w:tcPr>
            <w:tcW w:w="1240" w:type="dxa"/>
            <w:vAlign w:val="bottom"/>
            <w:tcBorders>
              <w:left w:val="single" w:sz="8" w:color="auto"/>
              <w:right w:val="single" w:sz="8" w:color="auto"/>
            </w:tcBorders>
          </w:tcPr>
          <w:p>
            <w:pPr>
              <w:spacing w:after="0"/>
              <w:rPr>
                <w:sz w:val="15"/>
                <w:szCs w:val="15"/>
                <w:color w:val="auto"/>
              </w:rPr>
            </w:pPr>
          </w:p>
        </w:tc>
        <w:tc>
          <w:tcPr>
            <w:tcW w:w="6120" w:type="dxa"/>
            <w:vAlign w:val="bottom"/>
            <w:tcBorders>
              <w:right w:val="single" w:sz="8" w:color="auto"/>
            </w:tcBorders>
          </w:tcPr>
          <w:p>
            <w:pPr>
              <w:spacing w:after="0"/>
              <w:rPr>
                <w:sz w:val="15"/>
                <w:szCs w:val="15"/>
                <w:color w:val="auto"/>
              </w:rPr>
            </w:pPr>
          </w:p>
        </w:tc>
        <w:tc>
          <w:tcPr>
            <w:tcW w:w="3900" w:type="dxa"/>
            <w:vAlign w:val="bottom"/>
            <w:tcBorders>
              <w:right w:val="single" w:sz="8" w:color="auto"/>
            </w:tcBorders>
          </w:tcPr>
          <w:p>
            <w:pPr>
              <w:ind w:left="60"/>
              <w:spacing w:after="0" w:line="176" w:lineRule="exact"/>
              <w:rPr>
                <w:sz w:val="20"/>
                <w:szCs w:val="20"/>
                <w:color w:val="auto"/>
              </w:rPr>
            </w:pPr>
            <w:r>
              <w:rPr>
                <w:rFonts w:ascii="Arial" w:cs="Arial" w:eastAsia="Arial" w:hAnsi="Arial"/>
                <w:sz w:val="18"/>
                <w:szCs w:val="18"/>
                <w:color w:val="auto"/>
              </w:rPr>
              <w:t>common stock and Class B common stock. No</w:t>
            </w:r>
          </w:p>
        </w:tc>
        <w:tc>
          <w:tcPr>
            <w:tcW w:w="0" w:type="dxa"/>
            <w:vAlign w:val="bottom"/>
          </w:tcPr>
          <w:p>
            <w:pPr>
              <w:spacing w:after="0"/>
              <w:rPr>
                <w:sz w:val="1"/>
                <w:szCs w:val="1"/>
                <w:color w:val="auto"/>
              </w:rPr>
            </w:pPr>
          </w:p>
        </w:tc>
      </w:tr>
      <w:tr>
        <w:trPr>
          <w:trHeight w:val="184"/>
        </w:trPr>
        <w:tc>
          <w:tcPr>
            <w:tcW w:w="1240" w:type="dxa"/>
            <w:vAlign w:val="bottom"/>
            <w:tcBorders>
              <w:left w:val="single" w:sz="8" w:color="auto"/>
              <w:right w:val="single" w:sz="8" w:color="auto"/>
            </w:tcBorders>
          </w:tcPr>
          <w:p>
            <w:pPr>
              <w:spacing w:after="0"/>
              <w:rPr>
                <w:sz w:val="15"/>
                <w:szCs w:val="15"/>
                <w:color w:val="auto"/>
              </w:rPr>
            </w:pPr>
          </w:p>
        </w:tc>
        <w:tc>
          <w:tcPr>
            <w:tcW w:w="6120" w:type="dxa"/>
            <w:vAlign w:val="bottom"/>
            <w:tcBorders>
              <w:right w:val="single" w:sz="8" w:color="auto"/>
            </w:tcBorders>
          </w:tcPr>
          <w:p>
            <w:pPr>
              <w:spacing w:after="0"/>
              <w:rPr>
                <w:sz w:val="15"/>
                <w:szCs w:val="15"/>
                <w:color w:val="auto"/>
              </w:rPr>
            </w:pPr>
          </w:p>
        </w:tc>
        <w:tc>
          <w:tcPr>
            <w:tcW w:w="3900" w:type="dxa"/>
            <w:vAlign w:val="bottom"/>
            <w:tcBorders>
              <w:right w:val="single" w:sz="8" w:color="auto"/>
            </w:tcBorders>
          </w:tcPr>
          <w:p>
            <w:pPr>
              <w:ind w:left="60"/>
              <w:spacing w:after="0" w:line="183" w:lineRule="exact"/>
              <w:rPr>
                <w:sz w:val="20"/>
                <w:szCs w:val="20"/>
                <w:color w:val="auto"/>
              </w:rPr>
            </w:pPr>
            <w:r>
              <w:rPr>
                <w:rFonts w:ascii="Arial" w:cs="Arial" w:eastAsia="Arial" w:hAnsi="Arial"/>
                <w:sz w:val="18"/>
                <w:szCs w:val="18"/>
                <w:color w:val="auto"/>
              </w:rPr>
              <w:t>ASX-listed CDIs will be repurchased in these</w:t>
            </w:r>
          </w:p>
        </w:tc>
        <w:tc>
          <w:tcPr>
            <w:tcW w:w="0" w:type="dxa"/>
            <w:vAlign w:val="bottom"/>
          </w:tcPr>
          <w:p>
            <w:pPr>
              <w:spacing w:after="0"/>
              <w:rPr>
                <w:sz w:val="1"/>
                <w:szCs w:val="1"/>
                <w:color w:val="auto"/>
              </w:rPr>
            </w:pPr>
          </w:p>
        </w:tc>
      </w:tr>
      <w:tr>
        <w:trPr>
          <w:trHeight w:val="235"/>
        </w:trPr>
        <w:tc>
          <w:tcPr>
            <w:tcW w:w="1240" w:type="dxa"/>
            <w:vAlign w:val="bottom"/>
            <w:tcBorders>
              <w:left w:val="single" w:sz="8" w:color="auto"/>
              <w:bottom w:val="single" w:sz="8" w:color="auto"/>
              <w:right w:val="single" w:sz="8" w:color="auto"/>
            </w:tcBorders>
          </w:tcPr>
          <w:p>
            <w:pPr>
              <w:spacing w:after="0"/>
              <w:rPr>
                <w:sz w:val="20"/>
                <w:szCs w:val="20"/>
                <w:color w:val="auto"/>
              </w:rPr>
            </w:pPr>
          </w:p>
        </w:tc>
        <w:tc>
          <w:tcPr>
            <w:tcW w:w="6120" w:type="dxa"/>
            <w:vAlign w:val="bottom"/>
            <w:tcBorders>
              <w:bottom w:val="single" w:sz="8" w:color="auto"/>
              <w:right w:val="single" w:sz="8" w:color="auto"/>
            </w:tcBorders>
          </w:tcPr>
          <w:p>
            <w:pPr>
              <w:spacing w:after="0"/>
              <w:rPr>
                <w:sz w:val="20"/>
                <w:szCs w:val="20"/>
                <w:color w:val="auto"/>
              </w:rPr>
            </w:pPr>
          </w:p>
        </w:tc>
        <w:tc>
          <w:tcPr>
            <w:tcW w:w="39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programs.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25"/>
          <w:szCs w:val="25"/>
          <w:color w:val="auto"/>
        </w:rPr>
        <w:t>Part 3 –Buy-back details</w:t>
      </w:r>
    </w:p>
    <w:p>
      <w:pPr>
        <w:spacing w:after="0" w:line="77" w:lineRule="exact"/>
        <w:rPr>
          <w:sz w:val="20"/>
          <w:szCs w:val="20"/>
          <w:color w:val="auto"/>
        </w:rPr>
      </w:pPr>
    </w:p>
    <w:p>
      <w:pPr>
        <w:spacing w:after="0"/>
        <w:rPr>
          <w:sz w:val="20"/>
          <w:szCs w:val="20"/>
          <w:color w:val="auto"/>
        </w:rPr>
      </w:pPr>
      <w:r>
        <w:rPr>
          <w:rFonts w:ascii="Arial" w:cs="Arial" w:eastAsia="Arial" w:hAnsi="Arial"/>
          <w:sz w:val="25"/>
          <w:szCs w:val="25"/>
          <w:color w:val="auto"/>
        </w:rPr>
        <w:t>Part 3A – Details of +securities, price and reason</w:t>
      </w:r>
    </w:p>
    <w:p>
      <w:pPr>
        <w:spacing w:after="0" w:line="134"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1080" w:type="dxa"/>
            <w:vAlign w:val="bottom"/>
            <w:tcBorders>
              <w:top w:val="single" w:sz="8" w:color="auto"/>
              <w:left w:val="single" w:sz="8" w:color="auto"/>
            </w:tcBorders>
          </w:tcPr>
          <w:p>
            <w:pPr>
              <w:ind w:left="80"/>
              <w:spacing w:after="0" w:line="189" w:lineRule="exact"/>
              <w:rPr>
                <w:sz w:val="20"/>
                <w:szCs w:val="20"/>
                <w:color w:val="auto"/>
              </w:rPr>
            </w:pPr>
            <w:r>
              <w:rPr>
                <w:rFonts w:ascii="Arial" w:cs="Arial" w:eastAsia="Arial" w:hAnsi="Arial"/>
                <w:sz w:val="18"/>
                <w:szCs w:val="18"/>
                <w:color w:val="auto"/>
              </w:rPr>
              <w:t>3A.1</w:t>
            </w:r>
          </w:p>
        </w:tc>
        <w:tc>
          <w:tcPr>
            <w:tcW w:w="200" w:type="dxa"/>
            <w:vAlign w:val="bottom"/>
            <w:tcBorders>
              <w:top w:val="single" w:sz="8" w:color="auto"/>
              <w:right w:val="single" w:sz="8" w:color="auto"/>
            </w:tcBorders>
          </w:tcPr>
          <w:p>
            <w:pPr>
              <w:spacing w:after="0"/>
              <w:rPr>
                <w:sz w:val="16"/>
                <w:szCs w:val="16"/>
                <w:color w:val="auto"/>
              </w:rPr>
            </w:pPr>
          </w:p>
        </w:tc>
        <w:tc>
          <w:tcPr>
            <w:tcW w:w="6100" w:type="dxa"/>
            <w:vAlign w:val="bottom"/>
            <w:tcBorders>
              <w:top w:val="single" w:sz="8" w:color="auto"/>
              <w:right w:val="single" w:sz="8" w:color="auto"/>
            </w:tcBorders>
          </w:tcPr>
          <w:p>
            <w:pPr>
              <w:ind w:left="60"/>
              <w:spacing w:after="0" w:line="189" w:lineRule="exact"/>
              <w:rPr>
                <w:sz w:val="20"/>
                <w:szCs w:val="20"/>
                <w:color w:val="auto"/>
              </w:rPr>
            </w:pPr>
            <w:r>
              <w:rPr>
                <w:rFonts w:ascii="Arial" w:cs="Arial" w:eastAsia="Arial" w:hAnsi="Arial"/>
                <w:sz w:val="18"/>
                <w:szCs w:val="18"/>
                <w:color w:val="auto"/>
              </w:rPr>
              <w:t>*Total number of +securities on issue in the class of +securities to be</w:t>
            </w:r>
          </w:p>
        </w:tc>
        <w:tc>
          <w:tcPr>
            <w:tcW w:w="3880" w:type="dxa"/>
            <w:vAlign w:val="bottom"/>
            <w:tcBorders>
              <w:top w:val="single" w:sz="8" w:color="auto"/>
              <w:right w:val="single" w:sz="8" w:color="auto"/>
            </w:tcBorders>
          </w:tcPr>
          <w:p>
            <w:pPr>
              <w:ind w:left="60"/>
              <w:spacing w:after="0" w:line="189" w:lineRule="exact"/>
              <w:rPr>
                <w:sz w:val="20"/>
                <w:szCs w:val="20"/>
                <w:color w:val="auto"/>
              </w:rPr>
            </w:pPr>
            <w:r>
              <w:rPr>
                <w:rFonts w:ascii="Arial" w:cs="Arial" w:eastAsia="Arial" w:hAnsi="Arial"/>
                <w:sz w:val="18"/>
                <w:szCs w:val="18"/>
                <w:color w:val="auto"/>
              </w:rPr>
              <w:t>357,709,203</w:t>
            </w:r>
          </w:p>
        </w:tc>
        <w:tc>
          <w:tcPr>
            <w:tcW w:w="0" w:type="dxa"/>
            <w:vAlign w:val="bottom"/>
          </w:tcPr>
          <w:p>
            <w:pPr>
              <w:spacing w:after="0"/>
              <w:rPr>
                <w:sz w:val="1"/>
                <w:szCs w:val="1"/>
                <w:color w:val="auto"/>
              </w:rPr>
            </w:pPr>
          </w:p>
        </w:tc>
      </w:tr>
      <w:tr>
        <w:trPr>
          <w:trHeight w:val="241"/>
        </w:trPr>
        <w:tc>
          <w:tcPr>
            <w:tcW w:w="1080" w:type="dxa"/>
            <w:vAlign w:val="bottom"/>
            <w:tcBorders>
              <w:left w:val="single" w:sz="8" w:color="auto"/>
              <w:bottom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61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bought back</w:t>
            </w:r>
          </w:p>
        </w:tc>
        <w:tc>
          <w:tcPr>
            <w:tcW w:w="38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10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3A.2</w:t>
            </w:r>
          </w:p>
        </w:tc>
        <w:tc>
          <w:tcPr>
            <w:tcW w:w="200" w:type="dxa"/>
            <w:vAlign w:val="bottom"/>
            <w:tcBorders>
              <w:right w:val="single" w:sz="8" w:color="auto"/>
            </w:tcBorders>
          </w:tcPr>
          <w:p>
            <w:pPr>
              <w:spacing w:after="0"/>
              <w:rPr>
                <w:sz w:val="19"/>
                <w:szCs w:val="19"/>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*Total number of +securities proposed to be bought back</w:t>
            </w:r>
          </w:p>
        </w:tc>
        <w:tc>
          <w:tcPr>
            <w:tcW w:w="3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The Company may purchase up to an</w:t>
            </w:r>
          </w:p>
        </w:tc>
        <w:tc>
          <w:tcPr>
            <w:tcW w:w="0" w:type="dxa"/>
            <w:vAlign w:val="bottom"/>
          </w:tcPr>
          <w:p>
            <w:pPr>
              <w:spacing w:after="0"/>
              <w:rPr>
                <w:sz w:val="1"/>
                <w:szCs w:val="1"/>
                <w:color w:val="auto"/>
              </w:rPr>
            </w:pPr>
          </w:p>
        </w:tc>
      </w:tr>
      <w:tr>
        <w:trPr>
          <w:trHeight w:val="122"/>
        </w:trPr>
        <w:tc>
          <w:tcPr>
            <w:tcW w:w="1080" w:type="dxa"/>
            <w:vAlign w:val="bottom"/>
            <w:tcBorders>
              <w:left w:val="single" w:sz="8" w:color="auto"/>
            </w:tcBorders>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6100" w:type="dxa"/>
            <w:vAlign w:val="bottom"/>
            <w:tcBorders>
              <w:right w:val="single" w:sz="8" w:color="auto"/>
            </w:tcBorders>
            <w:vMerge w:val="restart"/>
          </w:tcPr>
          <w:p>
            <w:pPr>
              <w:ind w:left="60"/>
              <w:spacing w:after="0"/>
              <w:rPr>
                <w:sz w:val="20"/>
                <w:szCs w:val="20"/>
                <w:color w:val="auto"/>
              </w:rPr>
            </w:pPr>
            <w:r>
              <w:rPr>
                <w:rFonts w:ascii="Arial" w:cs="Arial" w:eastAsia="Arial" w:hAnsi="Arial"/>
                <w:sz w:val="14"/>
                <w:szCs w:val="14"/>
                <w:i w:val="1"/>
                <w:iCs w:val="1"/>
                <w:color w:val="auto"/>
              </w:rPr>
              <w:t>Answer this question if your response to Q 2.1 is “Employee share scheme buy-back,</w:t>
            </w:r>
          </w:p>
        </w:tc>
        <w:tc>
          <w:tcPr>
            <w:tcW w:w="3880" w:type="dxa"/>
            <w:vAlign w:val="bottom"/>
            <w:tcBorders>
              <w:right w:val="single" w:sz="8" w:color="auto"/>
            </w:tcBorders>
          </w:tcPr>
          <w:p>
            <w:pPr>
              <w:ind w:left="60"/>
              <w:spacing w:after="0" w:line="122" w:lineRule="exact"/>
              <w:rPr>
                <w:sz w:val="20"/>
                <w:szCs w:val="20"/>
                <w:color w:val="auto"/>
              </w:rPr>
            </w:pPr>
            <w:r>
              <w:rPr>
                <w:rFonts w:ascii="Arial" w:cs="Arial" w:eastAsia="Arial" w:hAnsi="Arial"/>
                <w:sz w:val="13"/>
                <w:szCs w:val="13"/>
                <w:color w:val="auto"/>
              </w:rPr>
              <w:t>aggregate of US$1 billion of Class A common</w:t>
            </w:r>
          </w:p>
        </w:tc>
        <w:tc>
          <w:tcPr>
            <w:tcW w:w="0" w:type="dxa"/>
            <w:vAlign w:val="bottom"/>
          </w:tcPr>
          <w:p>
            <w:pPr>
              <w:spacing w:after="0"/>
              <w:rPr>
                <w:sz w:val="1"/>
                <w:szCs w:val="1"/>
                <w:color w:val="auto"/>
              </w:rPr>
            </w:pPr>
          </w:p>
        </w:tc>
      </w:tr>
      <w:tr>
        <w:trPr>
          <w:trHeight w:val="87"/>
        </w:trPr>
        <w:tc>
          <w:tcPr>
            <w:tcW w:w="1080" w:type="dxa"/>
            <w:vAlign w:val="bottom"/>
            <w:tcBorders>
              <w:left w:val="single" w:sz="8" w:color="auto"/>
            </w:tcBorders>
          </w:tcPr>
          <w:p>
            <w:pPr>
              <w:spacing w:after="0"/>
              <w:rPr>
                <w:sz w:val="7"/>
                <w:szCs w:val="7"/>
                <w:color w:val="auto"/>
              </w:rPr>
            </w:pPr>
          </w:p>
        </w:tc>
        <w:tc>
          <w:tcPr>
            <w:tcW w:w="200" w:type="dxa"/>
            <w:vAlign w:val="bottom"/>
            <w:tcBorders>
              <w:right w:val="single" w:sz="8" w:color="auto"/>
            </w:tcBorders>
          </w:tcPr>
          <w:p>
            <w:pPr>
              <w:spacing w:after="0"/>
              <w:rPr>
                <w:sz w:val="7"/>
                <w:szCs w:val="7"/>
                <w:color w:val="auto"/>
              </w:rPr>
            </w:pPr>
          </w:p>
        </w:tc>
        <w:tc>
          <w:tcPr>
            <w:tcW w:w="6100" w:type="dxa"/>
            <w:vAlign w:val="bottom"/>
            <w:tcBorders>
              <w:right w:val="single" w:sz="8" w:color="auto"/>
            </w:tcBorders>
            <w:vMerge w:val="continue"/>
          </w:tcPr>
          <w:p>
            <w:pPr>
              <w:spacing w:after="0"/>
              <w:rPr>
                <w:sz w:val="7"/>
                <w:szCs w:val="7"/>
                <w:color w:val="auto"/>
              </w:rPr>
            </w:pPr>
          </w:p>
        </w:tc>
        <w:tc>
          <w:tcPr>
            <w:tcW w:w="388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stock and Class B common stock under the</w:t>
            </w:r>
          </w:p>
        </w:tc>
        <w:tc>
          <w:tcPr>
            <w:tcW w:w="0" w:type="dxa"/>
            <w:vAlign w:val="bottom"/>
          </w:tcPr>
          <w:p>
            <w:pPr>
              <w:spacing w:after="0"/>
              <w:rPr>
                <w:sz w:val="1"/>
                <w:szCs w:val="1"/>
                <w:color w:val="auto"/>
              </w:rPr>
            </w:pPr>
          </w:p>
        </w:tc>
      </w:tr>
      <w:tr>
        <w:trPr>
          <w:trHeight w:val="142"/>
        </w:trPr>
        <w:tc>
          <w:tcPr>
            <w:tcW w:w="1080" w:type="dxa"/>
            <w:vAlign w:val="bottom"/>
            <w:tcBorders>
              <w:left w:val="single" w:sz="8" w:color="auto"/>
            </w:tcBorders>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6100" w:type="dxa"/>
            <w:vAlign w:val="bottom"/>
            <w:tcBorders>
              <w:right w:val="single" w:sz="8" w:color="auto"/>
            </w:tcBorders>
          </w:tcPr>
          <w:p>
            <w:pPr>
              <w:ind w:left="60"/>
              <w:spacing w:after="0" w:line="143" w:lineRule="exact"/>
              <w:rPr>
                <w:sz w:val="20"/>
                <w:szCs w:val="20"/>
                <w:color w:val="auto"/>
              </w:rPr>
            </w:pPr>
            <w:r>
              <w:rPr>
                <w:rFonts w:ascii="Arial" w:cs="Arial" w:eastAsia="Arial" w:hAnsi="Arial"/>
                <w:sz w:val="14"/>
                <w:szCs w:val="14"/>
                <w:i w:val="1"/>
                <w:iCs w:val="1"/>
                <w:color w:val="auto"/>
              </w:rPr>
              <w:t>“Selective buy-back” or “Other buy-back”.</w:t>
            </w:r>
          </w:p>
        </w:tc>
        <w:tc>
          <w:tcPr>
            <w:tcW w:w="388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080" w:type="dxa"/>
            <w:vAlign w:val="bottom"/>
            <w:tcBorders>
              <w:left w:val="single" w:sz="8" w:color="auto"/>
              <w:bottom w:val="single" w:sz="8" w:color="auto"/>
            </w:tcBorders>
          </w:tcPr>
          <w:p>
            <w:pPr>
              <w:spacing w:after="0"/>
              <w:rPr>
                <w:sz w:val="16"/>
                <w:szCs w:val="16"/>
                <w:color w:val="auto"/>
              </w:rPr>
            </w:pPr>
          </w:p>
        </w:tc>
        <w:tc>
          <w:tcPr>
            <w:tcW w:w="200" w:type="dxa"/>
            <w:vAlign w:val="bottom"/>
            <w:tcBorders>
              <w:bottom w:val="single" w:sz="8" w:color="auto"/>
              <w:right w:val="single" w:sz="8" w:color="auto"/>
            </w:tcBorders>
          </w:tcPr>
          <w:p>
            <w:pPr>
              <w:spacing w:after="0"/>
              <w:rPr>
                <w:sz w:val="16"/>
                <w:szCs w:val="16"/>
                <w:color w:val="auto"/>
              </w:rPr>
            </w:pPr>
          </w:p>
        </w:tc>
        <w:tc>
          <w:tcPr>
            <w:tcW w:w="6100" w:type="dxa"/>
            <w:vAlign w:val="bottom"/>
            <w:tcBorders>
              <w:bottom w:val="single" w:sz="8" w:color="auto"/>
              <w:right w:val="single" w:sz="8" w:color="auto"/>
            </w:tcBorders>
          </w:tcPr>
          <w:p>
            <w:pPr>
              <w:spacing w:after="0"/>
              <w:rPr>
                <w:sz w:val="16"/>
                <w:szCs w:val="16"/>
                <w:color w:val="auto"/>
              </w:rPr>
            </w:pPr>
          </w:p>
        </w:tc>
        <w:tc>
          <w:tcPr>
            <w:tcW w:w="3880" w:type="dxa"/>
            <w:vAlign w:val="bottom"/>
            <w:tcBorders>
              <w:bottom w:val="single" w:sz="8" w:color="auto"/>
              <w:right w:val="single" w:sz="8" w:color="auto"/>
            </w:tcBorders>
          </w:tcPr>
          <w:p>
            <w:pPr>
              <w:ind w:left="60"/>
              <w:spacing w:after="0" w:line="189" w:lineRule="exact"/>
              <w:rPr>
                <w:sz w:val="20"/>
                <w:szCs w:val="20"/>
                <w:color w:val="auto"/>
              </w:rPr>
            </w:pPr>
            <w:r>
              <w:rPr>
                <w:rFonts w:ascii="Arial" w:cs="Arial" w:eastAsia="Arial" w:hAnsi="Arial"/>
                <w:sz w:val="18"/>
                <w:szCs w:val="18"/>
                <w:color w:val="auto"/>
              </w:rPr>
              <w:t>2025 Repurchase Program.</w:t>
            </w:r>
          </w:p>
        </w:tc>
        <w:tc>
          <w:tcPr>
            <w:tcW w:w="0" w:type="dxa"/>
            <w:vAlign w:val="bottom"/>
          </w:tcPr>
          <w:p>
            <w:pPr>
              <w:spacing w:after="0"/>
              <w:rPr>
                <w:sz w:val="1"/>
                <w:szCs w:val="1"/>
                <w:color w:val="auto"/>
              </w:rPr>
            </w:pPr>
          </w:p>
        </w:tc>
      </w:tr>
      <w:tr>
        <w:trPr>
          <w:trHeight w:val="281"/>
        </w:trPr>
        <w:tc>
          <w:tcPr>
            <w:tcW w:w="10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3A.4</w:t>
            </w:r>
          </w:p>
        </w:tc>
        <w:tc>
          <w:tcPr>
            <w:tcW w:w="200" w:type="dxa"/>
            <w:vAlign w:val="bottom"/>
            <w:tcBorders>
              <w:right w:val="single" w:sz="8" w:color="auto"/>
            </w:tcBorders>
          </w:tcPr>
          <w:p>
            <w:pPr>
              <w:spacing w:after="0"/>
              <w:rPr>
                <w:sz w:val="24"/>
                <w:szCs w:val="24"/>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*Does the entity intend to buy back a minimum number of +securities</w:t>
            </w:r>
          </w:p>
        </w:tc>
        <w:tc>
          <w:tcPr>
            <w:tcW w:w="3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190"/>
        </w:trPr>
        <w:tc>
          <w:tcPr>
            <w:tcW w:w="1080" w:type="dxa"/>
            <w:vAlign w:val="bottom"/>
            <w:tcBorders>
              <w:left w:val="single" w:sz="8" w:color="auto"/>
            </w:tcBorders>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Answer this question if your response to Q 2.1 is “On-market buy-back”.</w:t>
            </w:r>
          </w:p>
        </w:tc>
        <w:tc>
          <w:tcPr>
            <w:tcW w:w="38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62"/>
        </w:trPr>
        <w:tc>
          <w:tcPr>
            <w:tcW w:w="1080" w:type="dxa"/>
            <w:vAlign w:val="bottom"/>
            <w:tcBorders>
              <w:left w:val="single" w:sz="8" w:color="auto"/>
              <w:bottom w:val="single" w:sz="8" w:color="auto"/>
            </w:tcBorders>
          </w:tcPr>
          <w:p>
            <w:pPr>
              <w:spacing w:after="0"/>
              <w:rPr>
                <w:sz w:val="5"/>
                <w:szCs w:val="5"/>
                <w:color w:val="auto"/>
              </w:rPr>
            </w:pPr>
          </w:p>
        </w:tc>
        <w:tc>
          <w:tcPr>
            <w:tcW w:w="200" w:type="dxa"/>
            <w:vAlign w:val="bottom"/>
            <w:tcBorders>
              <w:bottom w:val="single" w:sz="8" w:color="auto"/>
              <w:right w:val="single" w:sz="8" w:color="auto"/>
            </w:tcBorders>
          </w:tcPr>
          <w:p>
            <w:pPr>
              <w:spacing w:after="0"/>
              <w:rPr>
                <w:sz w:val="5"/>
                <w:szCs w:val="5"/>
                <w:color w:val="auto"/>
              </w:rPr>
            </w:pPr>
          </w:p>
        </w:tc>
        <w:tc>
          <w:tcPr>
            <w:tcW w:w="6100" w:type="dxa"/>
            <w:vAlign w:val="bottom"/>
            <w:tcBorders>
              <w:bottom w:val="single" w:sz="8" w:color="auto"/>
              <w:right w:val="single" w:sz="8" w:color="auto"/>
            </w:tcBorders>
          </w:tcPr>
          <w:p>
            <w:pPr>
              <w:spacing w:after="0"/>
              <w:rPr>
                <w:sz w:val="5"/>
                <w:szCs w:val="5"/>
                <w:color w:val="auto"/>
              </w:rPr>
            </w:pPr>
          </w:p>
        </w:tc>
        <w:tc>
          <w:tcPr>
            <w:tcW w:w="38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81"/>
        </w:trPr>
        <w:tc>
          <w:tcPr>
            <w:tcW w:w="10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3A.5</w:t>
            </w:r>
          </w:p>
        </w:tc>
        <w:tc>
          <w:tcPr>
            <w:tcW w:w="200" w:type="dxa"/>
            <w:vAlign w:val="bottom"/>
            <w:tcBorders>
              <w:right w:val="single" w:sz="8" w:color="auto"/>
            </w:tcBorders>
          </w:tcPr>
          <w:p>
            <w:pPr>
              <w:spacing w:after="0"/>
              <w:rPr>
                <w:sz w:val="24"/>
                <w:szCs w:val="24"/>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*Does the entity intend to buy back a maximum number of securities?</w:t>
            </w:r>
          </w:p>
        </w:tc>
        <w:tc>
          <w:tcPr>
            <w:tcW w:w="3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Yes</w:t>
            </w:r>
          </w:p>
        </w:tc>
        <w:tc>
          <w:tcPr>
            <w:tcW w:w="0" w:type="dxa"/>
            <w:vAlign w:val="bottom"/>
          </w:tcPr>
          <w:p>
            <w:pPr>
              <w:spacing w:after="0"/>
              <w:rPr>
                <w:sz w:val="1"/>
                <w:szCs w:val="1"/>
                <w:color w:val="auto"/>
              </w:rPr>
            </w:pPr>
          </w:p>
        </w:tc>
      </w:tr>
      <w:tr>
        <w:trPr>
          <w:trHeight w:val="190"/>
        </w:trPr>
        <w:tc>
          <w:tcPr>
            <w:tcW w:w="1080" w:type="dxa"/>
            <w:vAlign w:val="bottom"/>
            <w:tcBorders>
              <w:left w:val="single" w:sz="8" w:color="auto"/>
            </w:tcBorders>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Answer this question if your response to Q 2.1 is “On-market buy-back”</w:t>
            </w:r>
          </w:p>
        </w:tc>
        <w:tc>
          <w:tcPr>
            <w:tcW w:w="38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62"/>
        </w:trPr>
        <w:tc>
          <w:tcPr>
            <w:tcW w:w="1280" w:type="dxa"/>
            <w:vAlign w:val="bottom"/>
            <w:tcBorders>
              <w:left w:val="single" w:sz="8" w:color="auto"/>
              <w:bottom w:val="single" w:sz="8" w:color="auto"/>
              <w:right w:val="single" w:sz="8" w:color="auto"/>
            </w:tcBorders>
            <w:gridSpan w:val="2"/>
          </w:tcPr>
          <w:p>
            <w:pPr>
              <w:spacing w:after="0"/>
              <w:rPr>
                <w:sz w:val="5"/>
                <w:szCs w:val="5"/>
                <w:color w:val="auto"/>
              </w:rPr>
            </w:pPr>
          </w:p>
        </w:tc>
        <w:tc>
          <w:tcPr>
            <w:tcW w:w="6100" w:type="dxa"/>
            <w:vAlign w:val="bottom"/>
            <w:tcBorders>
              <w:bottom w:val="single" w:sz="8" w:color="auto"/>
              <w:right w:val="single" w:sz="8" w:color="auto"/>
            </w:tcBorders>
          </w:tcPr>
          <w:p>
            <w:pPr>
              <w:spacing w:after="0"/>
              <w:rPr>
                <w:sz w:val="5"/>
                <w:szCs w:val="5"/>
                <w:color w:val="auto"/>
              </w:rPr>
            </w:pPr>
          </w:p>
        </w:tc>
        <w:tc>
          <w:tcPr>
            <w:tcW w:w="38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668"/>
        </w:trPr>
        <w:tc>
          <w:tcPr>
            <w:tcW w:w="7380" w:type="dxa"/>
            <w:vAlign w:val="bottom"/>
            <w:tcBorders>
              <w:bottom w:val="single" w:sz="8" w:color="auto"/>
            </w:tcBorders>
            <w:gridSpan w:val="3"/>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7380" w:type="dxa"/>
            <w:vAlign w:val="bottom"/>
            <w:gridSpan w:val="3"/>
          </w:tcPr>
          <w:p>
            <w:pPr>
              <w:ind w:left="80"/>
              <w:spacing w:after="0"/>
              <w:rPr>
                <w:sz w:val="20"/>
                <w:szCs w:val="20"/>
                <w:color w:val="auto"/>
              </w:rPr>
            </w:pPr>
            <w:r>
              <w:rPr>
                <w:rFonts w:ascii="Arial" w:cs="Arial" w:eastAsia="Arial" w:hAnsi="Arial"/>
                <w:sz w:val="16"/>
                <w:szCs w:val="16"/>
                <w:color w:val="auto"/>
              </w:rPr>
              <w:t>+ See chapter 19 for defined terms</w:t>
            </w:r>
          </w:p>
        </w:tc>
        <w:tc>
          <w:tcPr>
            <w:tcW w:w="3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1080" w:type="dxa"/>
            <w:vAlign w:val="bottom"/>
          </w:tcPr>
          <w:p>
            <w:pPr>
              <w:spacing w:after="0"/>
              <w:rPr>
                <w:sz w:val="20"/>
                <w:szCs w:val="20"/>
                <w:color w:val="auto"/>
              </w:rPr>
            </w:pPr>
            <w:r>
              <w:rPr>
                <w:rFonts w:ascii="Arial" w:cs="Arial" w:eastAsia="Arial" w:hAnsi="Arial"/>
                <w:sz w:val="16"/>
                <w:szCs w:val="16"/>
                <w:i w:val="1"/>
                <w:iCs w:val="1"/>
                <w:color w:val="auto"/>
              </w:rPr>
              <w:t>5 June 2021</w:t>
            </w:r>
          </w:p>
        </w:tc>
        <w:tc>
          <w:tcPr>
            <w:tcW w:w="6300" w:type="dxa"/>
            <w:vAlign w:val="bottom"/>
            <w:gridSpan w:val="2"/>
          </w:tcPr>
          <w:p>
            <w:pPr>
              <w:ind w:left="180"/>
              <w:spacing w:after="0"/>
              <w:rPr>
                <w:sz w:val="20"/>
                <w:szCs w:val="20"/>
                <w:color w:val="auto"/>
              </w:rPr>
            </w:pPr>
            <w:r>
              <w:rPr>
                <w:rFonts w:ascii="Arial" w:cs="Arial" w:eastAsia="Arial" w:hAnsi="Arial"/>
                <w:sz w:val="16"/>
                <w:szCs w:val="16"/>
                <w:color w:val="auto"/>
              </w:rPr>
              <w:t>Page 2</w:t>
            </w:r>
          </w:p>
        </w:tc>
        <w:tc>
          <w:tcPr>
            <w:tcW w:w="3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283" w:right="319" w:bottom="1440" w:gutter="0" w:footer="0" w:header="0"/>
        </w:sectPr>
      </w:pPr>
    </w:p>
    <w:bookmarkStart w:id="5" w:name="page6"/>
    <w:bookmarkEnd w:id="5"/>
    <w:p>
      <w:pPr>
        <w:ind w:left="440"/>
        <w:spacing w:after="0"/>
        <w:rPr>
          <w:sz w:val="20"/>
          <w:szCs w:val="20"/>
          <w:color w:val="auto"/>
        </w:rPr>
      </w:pPr>
      <w:r>
        <w:rPr>
          <w:rFonts w:ascii="Arial" w:cs="Arial" w:eastAsia="Arial" w:hAnsi="Arial"/>
          <w:sz w:val="18"/>
          <w:szCs w:val="18"/>
          <w:b w:val="1"/>
          <w:bCs w:val="1"/>
          <w:color w:val="auto"/>
        </w:rPr>
        <w:t>Appendix 3C</w:t>
      </w:r>
    </w:p>
    <w:p>
      <w:pPr>
        <w:spacing w:after="0" w:line="14"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Notification of buy-back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128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3A.5a</w:t>
            </w:r>
          </w:p>
        </w:tc>
        <w:tc>
          <w:tcPr>
            <w:tcW w:w="6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*Maximum number of +securities proposed to be bought back</w:t>
            </w:r>
          </w:p>
        </w:tc>
        <w:tc>
          <w:tcPr>
            <w:tcW w:w="388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The Company may purchase up to an</w:t>
            </w:r>
          </w:p>
        </w:tc>
      </w:tr>
      <w:tr>
        <w:trPr>
          <w:trHeight w:val="202"/>
        </w:trPr>
        <w:tc>
          <w:tcPr>
            <w:tcW w:w="1280" w:type="dxa"/>
            <w:vAlign w:val="bottom"/>
            <w:tcBorders>
              <w:left w:val="single" w:sz="8" w:color="auto"/>
              <w:right w:val="single" w:sz="8" w:color="auto"/>
            </w:tcBorders>
          </w:tcPr>
          <w:p>
            <w:pPr>
              <w:spacing w:after="0"/>
              <w:rPr>
                <w:sz w:val="17"/>
                <w:szCs w:val="17"/>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Answer this question if your response to Q 2.1 is “On-market buy-back” and your response to</w:t>
            </w:r>
          </w:p>
        </w:tc>
        <w:tc>
          <w:tcPr>
            <w:tcW w:w="38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aggregate of US$1 billion of Class A common</w:t>
            </w:r>
          </w:p>
        </w:tc>
      </w:tr>
      <w:tr>
        <w:trPr>
          <w:trHeight w:val="149"/>
        </w:trPr>
        <w:tc>
          <w:tcPr>
            <w:tcW w:w="1280" w:type="dxa"/>
            <w:vAlign w:val="bottom"/>
            <w:tcBorders>
              <w:left w:val="single" w:sz="8" w:color="auto"/>
              <w:right w:val="single" w:sz="8" w:color="auto"/>
            </w:tcBorders>
          </w:tcPr>
          <w:p>
            <w:pPr>
              <w:spacing w:after="0"/>
              <w:rPr>
                <w:sz w:val="12"/>
                <w:szCs w:val="12"/>
                <w:color w:val="auto"/>
              </w:rPr>
            </w:pPr>
          </w:p>
        </w:tc>
        <w:tc>
          <w:tcPr>
            <w:tcW w:w="6100" w:type="dxa"/>
            <w:vAlign w:val="bottom"/>
            <w:tcBorders>
              <w:right w:val="single" w:sz="8" w:color="auto"/>
            </w:tcBorders>
          </w:tcPr>
          <w:p>
            <w:pPr>
              <w:ind w:left="60"/>
              <w:spacing w:after="0" w:line="149" w:lineRule="exact"/>
              <w:rPr>
                <w:sz w:val="20"/>
                <w:szCs w:val="20"/>
                <w:color w:val="auto"/>
              </w:rPr>
            </w:pPr>
            <w:r>
              <w:rPr>
                <w:rFonts w:ascii="Arial" w:cs="Arial" w:eastAsia="Arial" w:hAnsi="Arial"/>
                <w:sz w:val="14"/>
                <w:szCs w:val="14"/>
                <w:i w:val="1"/>
                <w:iCs w:val="1"/>
                <w:color w:val="auto"/>
              </w:rPr>
              <w:t>Q 3A.5 is “Yes”.</w:t>
            </w:r>
          </w:p>
        </w:tc>
        <w:tc>
          <w:tcPr>
            <w:tcW w:w="3880" w:type="dxa"/>
            <w:vAlign w:val="bottom"/>
            <w:tcBorders>
              <w:right w:val="single" w:sz="8" w:color="auto"/>
            </w:tcBorders>
          </w:tcPr>
          <w:p>
            <w:pPr>
              <w:ind w:left="60"/>
              <w:spacing w:after="0" w:line="149" w:lineRule="exact"/>
              <w:rPr>
                <w:sz w:val="20"/>
                <w:szCs w:val="20"/>
                <w:color w:val="auto"/>
              </w:rPr>
            </w:pPr>
            <w:r>
              <w:rPr>
                <w:rFonts w:ascii="Arial" w:cs="Arial" w:eastAsia="Arial" w:hAnsi="Arial"/>
                <w:sz w:val="17"/>
                <w:szCs w:val="17"/>
                <w:color w:val="auto"/>
              </w:rPr>
              <w:t>stock and Class B common stock under the</w:t>
            </w:r>
          </w:p>
        </w:tc>
      </w:tr>
      <w:tr>
        <w:trPr>
          <w:trHeight w:val="189"/>
        </w:trPr>
        <w:tc>
          <w:tcPr>
            <w:tcW w:w="1280" w:type="dxa"/>
            <w:vAlign w:val="bottom"/>
            <w:tcBorders>
              <w:left w:val="single" w:sz="8" w:color="auto"/>
              <w:bottom w:val="single" w:sz="8" w:color="auto"/>
              <w:right w:val="single" w:sz="8" w:color="auto"/>
            </w:tcBorders>
          </w:tcPr>
          <w:p>
            <w:pPr>
              <w:spacing w:after="0"/>
              <w:rPr>
                <w:sz w:val="16"/>
                <w:szCs w:val="16"/>
                <w:color w:val="auto"/>
              </w:rPr>
            </w:pPr>
          </w:p>
        </w:tc>
        <w:tc>
          <w:tcPr>
            <w:tcW w:w="6100" w:type="dxa"/>
            <w:vAlign w:val="bottom"/>
            <w:tcBorders>
              <w:bottom w:val="single" w:sz="8" w:color="auto"/>
              <w:right w:val="single" w:sz="8" w:color="auto"/>
            </w:tcBorders>
          </w:tcPr>
          <w:p>
            <w:pPr>
              <w:spacing w:after="0"/>
              <w:rPr>
                <w:sz w:val="16"/>
                <w:szCs w:val="16"/>
                <w:color w:val="auto"/>
              </w:rPr>
            </w:pPr>
          </w:p>
        </w:tc>
        <w:tc>
          <w:tcPr>
            <w:tcW w:w="3880" w:type="dxa"/>
            <w:vAlign w:val="bottom"/>
            <w:tcBorders>
              <w:bottom w:val="single" w:sz="8" w:color="auto"/>
              <w:right w:val="single" w:sz="8" w:color="auto"/>
            </w:tcBorders>
          </w:tcPr>
          <w:p>
            <w:pPr>
              <w:ind w:left="60"/>
              <w:spacing w:after="0" w:line="189" w:lineRule="exact"/>
              <w:rPr>
                <w:sz w:val="20"/>
                <w:szCs w:val="20"/>
                <w:color w:val="auto"/>
              </w:rPr>
            </w:pPr>
            <w:r>
              <w:rPr>
                <w:rFonts w:ascii="Arial" w:cs="Arial" w:eastAsia="Arial" w:hAnsi="Arial"/>
                <w:sz w:val="18"/>
                <w:szCs w:val="18"/>
                <w:color w:val="auto"/>
              </w:rPr>
              <w:t>2025 Repurchase Program.</w:t>
            </w:r>
          </w:p>
        </w:tc>
      </w:tr>
      <w:tr>
        <w:trPr>
          <w:trHeight w:val="223"/>
        </w:trPr>
        <w:tc>
          <w:tcPr>
            <w:tcW w:w="12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3A.6</w:t>
            </w: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*Name of broker or brokers who will offer to buy back +securities on the</w:t>
            </w:r>
          </w:p>
        </w:tc>
        <w:tc>
          <w:tcPr>
            <w:tcW w:w="3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Goldman Sachs &amp; Co. LLC</w:t>
            </w:r>
          </w:p>
        </w:tc>
      </w:tr>
      <w:tr>
        <w:trPr>
          <w:trHeight w:val="239"/>
        </w:trPr>
        <w:tc>
          <w:tcPr>
            <w:tcW w:w="1280" w:type="dxa"/>
            <w:vAlign w:val="bottom"/>
            <w:tcBorders>
              <w:left w:val="single" w:sz="8" w:color="auto"/>
              <w:right w:val="single" w:sz="8" w:color="auto"/>
            </w:tcBorders>
          </w:tcPr>
          <w:p>
            <w:pPr>
              <w:spacing w:after="0"/>
              <w:rPr>
                <w:sz w:val="20"/>
                <w:szCs w:val="20"/>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entity’s behalf</w:t>
            </w:r>
          </w:p>
        </w:tc>
        <w:tc>
          <w:tcPr>
            <w:tcW w:w="3880" w:type="dxa"/>
            <w:vAlign w:val="bottom"/>
            <w:tcBorders>
              <w:right w:val="single" w:sz="8" w:color="auto"/>
            </w:tcBorders>
          </w:tcPr>
          <w:p>
            <w:pPr>
              <w:spacing w:after="0"/>
              <w:rPr>
                <w:sz w:val="20"/>
                <w:szCs w:val="20"/>
                <w:color w:val="auto"/>
              </w:rPr>
            </w:pPr>
          </w:p>
        </w:tc>
      </w:tr>
      <w:tr>
        <w:trPr>
          <w:trHeight w:val="199"/>
        </w:trPr>
        <w:tc>
          <w:tcPr>
            <w:tcW w:w="1280" w:type="dxa"/>
            <w:vAlign w:val="bottom"/>
            <w:tcBorders>
              <w:left w:val="single" w:sz="8" w:color="auto"/>
              <w:right w:val="single" w:sz="8" w:color="auto"/>
            </w:tcBorders>
          </w:tcPr>
          <w:p>
            <w:pPr>
              <w:spacing w:after="0"/>
              <w:rPr>
                <w:sz w:val="17"/>
                <w:szCs w:val="17"/>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Answer this question if your response to Q 2.1 is “On-market buy-back”.</w:t>
            </w:r>
          </w:p>
        </w:tc>
        <w:tc>
          <w:tcPr>
            <w:tcW w:w="3880" w:type="dxa"/>
            <w:vAlign w:val="bottom"/>
            <w:tcBorders>
              <w:right w:val="single" w:sz="8" w:color="auto"/>
            </w:tcBorders>
          </w:tcPr>
          <w:p>
            <w:pPr>
              <w:spacing w:after="0"/>
              <w:rPr>
                <w:sz w:val="17"/>
                <w:szCs w:val="17"/>
                <w:color w:val="auto"/>
              </w:rPr>
            </w:pPr>
          </w:p>
        </w:tc>
      </w:tr>
      <w:tr>
        <w:trPr>
          <w:trHeight w:val="48"/>
        </w:trPr>
        <w:tc>
          <w:tcPr>
            <w:tcW w:w="1280" w:type="dxa"/>
            <w:vAlign w:val="bottom"/>
            <w:tcBorders>
              <w:left w:val="single" w:sz="8" w:color="auto"/>
              <w:bottom w:val="single" w:sz="8" w:color="auto"/>
              <w:right w:val="single" w:sz="8" w:color="auto"/>
            </w:tcBorders>
          </w:tcPr>
          <w:p>
            <w:pPr>
              <w:spacing w:after="0"/>
              <w:rPr>
                <w:sz w:val="4"/>
                <w:szCs w:val="4"/>
                <w:color w:val="auto"/>
              </w:rPr>
            </w:pPr>
          </w:p>
        </w:tc>
        <w:tc>
          <w:tcPr>
            <w:tcW w:w="6100" w:type="dxa"/>
            <w:vAlign w:val="bottom"/>
            <w:tcBorders>
              <w:bottom w:val="single" w:sz="8" w:color="auto"/>
              <w:right w:val="single" w:sz="8" w:color="auto"/>
            </w:tcBorders>
          </w:tcPr>
          <w:p>
            <w:pPr>
              <w:spacing w:after="0"/>
              <w:rPr>
                <w:sz w:val="4"/>
                <w:szCs w:val="4"/>
                <w:color w:val="auto"/>
              </w:rPr>
            </w:pPr>
          </w:p>
        </w:tc>
        <w:tc>
          <w:tcPr>
            <w:tcW w:w="3880" w:type="dxa"/>
            <w:vAlign w:val="bottom"/>
            <w:tcBorders>
              <w:bottom w:val="single" w:sz="8" w:color="auto"/>
              <w:right w:val="single" w:sz="8" w:color="auto"/>
            </w:tcBorders>
          </w:tcPr>
          <w:p>
            <w:pPr>
              <w:spacing w:after="0"/>
              <w:rPr>
                <w:sz w:val="4"/>
                <w:szCs w:val="4"/>
                <w:color w:val="auto"/>
              </w:rPr>
            </w:pPr>
          </w:p>
        </w:tc>
      </w:tr>
      <w:tr>
        <w:trPr>
          <w:trHeight w:val="281"/>
        </w:trPr>
        <w:tc>
          <w:tcPr>
            <w:tcW w:w="12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3A.9</w:t>
            </w: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*Are the +securities being bought back for a cash consideration?</w:t>
            </w:r>
          </w:p>
        </w:tc>
        <w:tc>
          <w:tcPr>
            <w:tcW w:w="3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Yes</w:t>
            </w:r>
          </w:p>
        </w:tc>
      </w:tr>
      <w:tr>
        <w:trPr>
          <w:trHeight w:val="151"/>
        </w:trPr>
        <w:tc>
          <w:tcPr>
            <w:tcW w:w="1280" w:type="dxa"/>
            <w:vAlign w:val="bottom"/>
            <w:tcBorders>
              <w:left w:val="single" w:sz="8" w:color="auto"/>
              <w:right w:val="single" w:sz="8" w:color="auto"/>
            </w:tcBorders>
          </w:tcPr>
          <w:p>
            <w:pPr>
              <w:spacing w:after="0"/>
              <w:rPr>
                <w:sz w:val="13"/>
                <w:szCs w:val="13"/>
                <w:color w:val="auto"/>
              </w:rPr>
            </w:pPr>
          </w:p>
        </w:tc>
        <w:tc>
          <w:tcPr>
            <w:tcW w:w="6100" w:type="dxa"/>
            <w:vAlign w:val="bottom"/>
            <w:tcBorders>
              <w:right w:val="single" w:sz="8" w:color="auto"/>
            </w:tcBorders>
          </w:tcPr>
          <w:p>
            <w:pPr>
              <w:ind w:left="60"/>
              <w:spacing w:after="0" w:line="151" w:lineRule="exact"/>
              <w:rPr>
                <w:sz w:val="20"/>
                <w:szCs w:val="20"/>
                <w:color w:val="auto"/>
              </w:rPr>
            </w:pPr>
            <w:r>
              <w:rPr>
                <w:rFonts w:ascii="Arial" w:cs="Arial" w:eastAsia="Arial" w:hAnsi="Arial"/>
                <w:sz w:val="14"/>
                <w:szCs w:val="14"/>
                <w:i w:val="1"/>
                <w:iCs w:val="1"/>
                <w:color w:val="auto"/>
              </w:rPr>
              <w:t>Note: if the securities are being bought back for nil cash consideration, answer this question</w:t>
            </w:r>
          </w:p>
        </w:tc>
        <w:tc>
          <w:tcPr>
            <w:tcW w:w="3880" w:type="dxa"/>
            <w:vAlign w:val="bottom"/>
            <w:tcBorders>
              <w:right w:val="single" w:sz="8" w:color="auto"/>
            </w:tcBorders>
          </w:tcPr>
          <w:p>
            <w:pPr>
              <w:spacing w:after="0"/>
              <w:rPr>
                <w:sz w:val="13"/>
                <w:szCs w:val="13"/>
                <w:color w:val="auto"/>
              </w:rPr>
            </w:pPr>
          </w:p>
        </w:tc>
      </w:tr>
      <w:tr>
        <w:trPr>
          <w:trHeight w:val="188"/>
        </w:trPr>
        <w:tc>
          <w:tcPr>
            <w:tcW w:w="1280" w:type="dxa"/>
            <w:vAlign w:val="bottom"/>
            <w:tcBorders>
              <w:left w:val="single" w:sz="8" w:color="auto"/>
              <w:right w:val="single" w:sz="8" w:color="auto"/>
            </w:tcBorders>
          </w:tcPr>
          <w:p>
            <w:pPr>
              <w:spacing w:after="0"/>
              <w:rPr>
                <w:sz w:val="16"/>
                <w:szCs w:val="16"/>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“No”.</w:t>
            </w:r>
          </w:p>
        </w:tc>
        <w:tc>
          <w:tcPr>
            <w:tcW w:w="3880" w:type="dxa"/>
            <w:vAlign w:val="bottom"/>
            <w:tcBorders>
              <w:right w:val="single" w:sz="8" w:color="auto"/>
            </w:tcBorders>
          </w:tcPr>
          <w:p>
            <w:pPr>
              <w:spacing w:after="0"/>
              <w:rPr>
                <w:sz w:val="16"/>
                <w:szCs w:val="16"/>
                <w:color w:val="auto"/>
              </w:rPr>
            </w:pPr>
          </w:p>
        </w:tc>
      </w:tr>
      <w:tr>
        <w:trPr>
          <w:trHeight w:val="62"/>
        </w:trPr>
        <w:tc>
          <w:tcPr>
            <w:tcW w:w="1280" w:type="dxa"/>
            <w:vAlign w:val="bottom"/>
            <w:tcBorders>
              <w:left w:val="single" w:sz="8" w:color="auto"/>
              <w:bottom w:val="single" w:sz="8" w:color="auto"/>
              <w:right w:val="single" w:sz="8" w:color="auto"/>
            </w:tcBorders>
          </w:tcPr>
          <w:p>
            <w:pPr>
              <w:spacing w:after="0"/>
              <w:rPr>
                <w:sz w:val="5"/>
                <w:szCs w:val="5"/>
                <w:color w:val="auto"/>
              </w:rPr>
            </w:pPr>
          </w:p>
        </w:tc>
        <w:tc>
          <w:tcPr>
            <w:tcW w:w="6100" w:type="dxa"/>
            <w:vAlign w:val="bottom"/>
            <w:tcBorders>
              <w:bottom w:val="single" w:sz="8" w:color="auto"/>
              <w:right w:val="single" w:sz="8" w:color="auto"/>
            </w:tcBorders>
          </w:tcPr>
          <w:p>
            <w:pPr>
              <w:spacing w:after="0"/>
              <w:rPr>
                <w:sz w:val="5"/>
                <w:szCs w:val="5"/>
                <w:color w:val="auto"/>
              </w:rPr>
            </w:pPr>
          </w:p>
        </w:tc>
        <w:tc>
          <w:tcPr>
            <w:tcW w:w="3880" w:type="dxa"/>
            <w:vAlign w:val="bottom"/>
            <w:tcBorders>
              <w:bottom w:val="single" w:sz="8" w:color="auto"/>
              <w:right w:val="single" w:sz="8" w:color="auto"/>
            </w:tcBorders>
          </w:tcPr>
          <w:p>
            <w:pPr>
              <w:spacing w:after="0"/>
              <w:rPr>
                <w:sz w:val="5"/>
                <w:szCs w:val="5"/>
                <w:color w:val="auto"/>
              </w:rPr>
            </w:pPr>
          </w:p>
        </w:tc>
      </w:tr>
      <w:tr>
        <w:trPr>
          <w:trHeight w:val="281"/>
        </w:trPr>
        <w:tc>
          <w:tcPr>
            <w:tcW w:w="12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3A.9a</w:t>
            </w: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*Is the price to be paid for +securities bought back known?</w:t>
            </w:r>
          </w:p>
        </w:tc>
        <w:tc>
          <w:tcPr>
            <w:tcW w:w="3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No</w:t>
            </w:r>
          </w:p>
        </w:tc>
      </w:tr>
      <w:tr>
        <w:trPr>
          <w:trHeight w:val="190"/>
        </w:trPr>
        <w:tc>
          <w:tcPr>
            <w:tcW w:w="1280" w:type="dxa"/>
            <w:vAlign w:val="bottom"/>
            <w:tcBorders>
              <w:left w:val="single" w:sz="8" w:color="auto"/>
              <w:right w:val="single" w:sz="8" w:color="auto"/>
            </w:tcBorders>
          </w:tcPr>
          <w:p>
            <w:pPr>
              <w:spacing w:after="0"/>
              <w:rPr>
                <w:sz w:val="16"/>
                <w:szCs w:val="16"/>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Answer this question if your response to Q 3A.9 is “Yes”.</w:t>
            </w:r>
          </w:p>
        </w:tc>
        <w:tc>
          <w:tcPr>
            <w:tcW w:w="3880" w:type="dxa"/>
            <w:vAlign w:val="bottom"/>
            <w:tcBorders>
              <w:right w:val="single" w:sz="8" w:color="auto"/>
            </w:tcBorders>
          </w:tcPr>
          <w:p>
            <w:pPr>
              <w:spacing w:after="0"/>
              <w:rPr>
                <w:sz w:val="16"/>
                <w:szCs w:val="16"/>
                <w:color w:val="auto"/>
              </w:rPr>
            </w:pPr>
          </w:p>
        </w:tc>
      </w:tr>
      <w:tr>
        <w:trPr>
          <w:trHeight w:val="62"/>
        </w:trPr>
        <w:tc>
          <w:tcPr>
            <w:tcW w:w="1280" w:type="dxa"/>
            <w:vAlign w:val="bottom"/>
            <w:tcBorders>
              <w:left w:val="single" w:sz="8" w:color="auto"/>
              <w:bottom w:val="single" w:sz="8" w:color="auto"/>
              <w:right w:val="single" w:sz="8" w:color="auto"/>
            </w:tcBorders>
          </w:tcPr>
          <w:p>
            <w:pPr>
              <w:spacing w:after="0"/>
              <w:rPr>
                <w:sz w:val="5"/>
                <w:szCs w:val="5"/>
                <w:color w:val="auto"/>
              </w:rPr>
            </w:pPr>
          </w:p>
        </w:tc>
        <w:tc>
          <w:tcPr>
            <w:tcW w:w="6100" w:type="dxa"/>
            <w:vAlign w:val="bottom"/>
            <w:tcBorders>
              <w:bottom w:val="single" w:sz="8" w:color="auto"/>
              <w:right w:val="single" w:sz="8" w:color="auto"/>
            </w:tcBorders>
          </w:tcPr>
          <w:p>
            <w:pPr>
              <w:spacing w:after="0"/>
              <w:rPr>
                <w:sz w:val="5"/>
                <w:szCs w:val="5"/>
                <w:color w:val="auto"/>
              </w:rPr>
            </w:pPr>
          </w:p>
        </w:tc>
        <w:tc>
          <w:tcPr>
            <w:tcW w:w="3880" w:type="dxa"/>
            <w:vAlign w:val="bottom"/>
            <w:tcBorders>
              <w:bottom w:val="single" w:sz="8" w:color="auto"/>
              <w:right w:val="single" w:sz="8" w:color="auto"/>
            </w:tcBorders>
          </w:tcPr>
          <w:p>
            <w:pPr>
              <w:spacing w:after="0"/>
              <w:rPr>
                <w:sz w:val="5"/>
                <w:szCs w:val="5"/>
                <w:color w:val="auto"/>
              </w:rPr>
            </w:pPr>
          </w:p>
        </w:tc>
      </w:tr>
      <w:tr>
        <w:trPr>
          <w:trHeight w:val="281"/>
        </w:trPr>
        <w:tc>
          <w:tcPr>
            <w:tcW w:w="12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3A.9a(i)</w:t>
            </w: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*In what currency will the buy-back consideration be paid?</w:t>
            </w:r>
          </w:p>
        </w:tc>
        <w:tc>
          <w:tcPr>
            <w:tcW w:w="3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USD – US Dollar</w:t>
            </w:r>
          </w:p>
        </w:tc>
      </w:tr>
      <w:tr>
        <w:trPr>
          <w:trHeight w:val="190"/>
        </w:trPr>
        <w:tc>
          <w:tcPr>
            <w:tcW w:w="1280" w:type="dxa"/>
            <w:vAlign w:val="bottom"/>
            <w:tcBorders>
              <w:left w:val="single" w:sz="8" w:color="auto"/>
              <w:right w:val="single" w:sz="8" w:color="auto"/>
            </w:tcBorders>
          </w:tcPr>
          <w:p>
            <w:pPr>
              <w:spacing w:after="0"/>
              <w:rPr>
                <w:sz w:val="16"/>
                <w:szCs w:val="16"/>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Answer this question if your response to Q 3A.9 is “Yes”.</w:t>
            </w:r>
          </w:p>
        </w:tc>
        <w:tc>
          <w:tcPr>
            <w:tcW w:w="3880" w:type="dxa"/>
            <w:vAlign w:val="bottom"/>
            <w:tcBorders>
              <w:right w:val="single" w:sz="8" w:color="auto"/>
            </w:tcBorders>
          </w:tcPr>
          <w:p>
            <w:pPr>
              <w:spacing w:after="0"/>
              <w:rPr>
                <w:sz w:val="16"/>
                <w:szCs w:val="16"/>
                <w:color w:val="auto"/>
              </w:rPr>
            </w:pPr>
          </w:p>
        </w:tc>
      </w:tr>
      <w:tr>
        <w:trPr>
          <w:trHeight w:val="203"/>
        </w:trPr>
        <w:tc>
          <w:tcPr>
            <w:tcW w:w="1280" w:type="dxa"/>
            <w:vAlign w:val="bottom"/>
            <w:tcBorders>
              <w:left w:val="single" w:sz="8" w:color="auto"/>
              <w:right w:val="single" w:sz="8" w:color="auto"/>
            </w:tcBorders>
          </w:tcPr>
          <w:p>
            <w:pPr>
              <w:spacing w:after="0"/>
              <w:rPr>
                <w:sz w:val="17"/>
                <w:szCs w:val="17"/>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Note: all prices below are to be expressed in this currency.</w:t>
            </w:r>
          </w:p>
        </w:tc>
        <w:tc>
          <w:tcPr>
            <w:tcW w:w="3880" w:type="dxa"/>
            <w:vAlign w:val="bottom"/>
            <w:tcBorders>
              <w:right w:val="single" w:sz="8" w:color="auto"/>
            </w:tcBorders>
          </w:tcPr>
          <w:p>
            <w:pPr>
              <w:spacing w:after="0"/>
              <w:rPr>
                <w:sz w:val="17"/>
                <w:szCs w:val="17"/>
                <w:color w:val="auto"/>
              </w:rPr>
            </w:pPr>
          </w:p>
        </w:tc>
      </w:tr>
      <w:tr>
        <w:trPr>
          <w:trHeight w:val="62"/>
        </w:trPr>
        <w:tc>
          <w:tcPr>
            <w:tcW w:w="1280" w:type="dxa"/>
            <w:vAlign w:val="bottom"/>
            <w:tcBorders>
              <w:left w:val="single" w:sz="8" w:color="auto"/>
              <w:bottom w:val="single" w:sz="8" w:color="auto"/>
              <w:right w:val="single" w:sz="8" w:color="auto"/>
            </w:tcBorders>
          </w:tcPr>
          <w:p>
            <w:pPr>
              <w:spacing w:after="0"/>
              <w:rPr>
                <w:sz w:val="5"/>
                <w:szCs w:val="5"/>
                <w:color w:val="auto"/>
              </w:rPr>
            </w:pPr>
          </w:p>
        </w:tc>
        <w:tc>
          <w:tcPr>
            <w:tcW w:w="6100" w:type="dxa"/>
            <w:vAlign w:val="bottom"/>
            <w:tcBorders>
              <w:bottom w:val="single" w:sz="8" w:color="auto"/>
              <w:right w:val="single" w:sz="8" w:color="auto"/>
            </w:tcBorders>
          </w:tcPr>
          <w:p>
            <w:pPr>
              <w:spacing w:after="0"/>
              <w:rPr>
                <w:sz w:val="5"/>
                <w:szCs w:val="5"/>
                <w:color w:val="auto"/>
              </w:rPr>
            </w:pPr>
          </w:p>
        </w:tc>
        <w:tc>
          <w:tcPr>
            <w:tcW w:w="3880" w:type="dxa"/>
            <w:vAlign w:val="bottom"/>
            <w:tcBorders>
              <w:bottom w:val="single" w:sz="8" w:color="auto"/>
              <w:right w:val="single" w:sz="8" w:color="auto"/>
            </w:tcBorders>
          </w:tcPr>
          <w:p>
            <w:pPr>
              <w:spacing w:after="0"/>
              <w:rPr>
                <w:sz w:val="5"/>
                <w:szCs w:val="5"/>
                <w:color w:val="auto"/>
              </w:rPr>
            </w:pPr>
          </w:p>
        </w:tc>
      </w:tr>
      <w:tr>
        <w:trPr>
          <w:trHeight w:val="281"/>
        </w:trPr>
        <w:tc>
          <w:tcPr>
            <w:tcW w:w="12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3A.12</w:t>
            </w: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*Reason for buy-back</w:t>
            </w:r>
          </w:p>
        </w:tc>
        <w:tc>
          <w:tcPr>
            <w:tcW w:w="3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To enhance shareholder value</w:t>
            </w:r>
          </w:p>
        </w:tc>
      </w:tr>
      <w:tr>
        <w:trPr>
          <w:trHeight w:val="190"/>
        </w:trPr>
        <w:tc>
          <w:tcPr>
            <w:tcW w:w="1280" w:type="dxa"/>
            <w:vAlign w:val="bottom"/>
            <w:tcBorders>
              <w:left w:val="single" w:sz="8" w:color="auto"/>
              <w:right w:val="single" w:sz="8" w:color="auto"/>
            </w:tcBorders>
          </w:tcPr>
          <w:p>
            <w:pPr>
              <w:spacing w:after="0"/>
              <w:rPr>
                <w:sz w:val="16"/>
                <w:szCs w:val="16"/>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Answer this question if your response to Q 2.1 is “Other buy-back”.</w:t>
            </w:r>
          </w:p>
        </w:tc>
        <w:tc>
          <w:tcPr>
            <w:tcW w:w="3880" w:type="dxa"/>
            <w:vAlign w:val="bottom"/>
            <w:tcBorders>
              <w:right w:val="single" w:sz="8" w:color="auto"/>
            </w:tcBorders>
          </w:tcPr>
          <w:p>
            <w:pPr>
              <w:spacing w:after="0"/>
              <w:rPr>
                <w:sz w:val="16"/>
                <w:szCs w:val="16"/>
                <w:color w:val="auto"/>
              </w:rPr>
            </w:pPr>
          </w:p>
        </w:tc>
      </w:tr>
      <w:tr>
        <w:trPr>
          <w:trHeight w:val="62"/>
        </w:trPr>
        <w:tc>
          <w:tcPr>
            <w:tcW w:w="1280" w:type="dxa"/>
            <w:vAlign w:val="bottom"/>
            <w:tcBorders>
              <w:left w:val="single" w:sz="8" w:color="auto"/>
              <w:bottom w:val="single" w:sz="8" w:color="auto"/>
              <w:right w:val="single" w:sz="8" w:color="auto"/>
            </w:tcBorders>
          </w:tcPr>
          <w:p>
            <w:pPr>
              <w:spacing w:after="0"/>
              <w:rPr>
                <w:sz w:val="5"/>
                <w:szCs w:val="5"/>
                <w:color w:val="auto"/>
              </w:rPr>
            </w:pPr>
          </w:p>
        </w:tc>
        <w:tc>
          <w:tcPr>
            <w:tcW w:w="6100" w:type="dxa"/>
            <w:vAlign w:val="bottom"/>
            <w:tcBorders>
              <w:bottom w:val="single" w:sz="8" w:color="auto"/>
              <w:right w:val="single" w:sz="8" w:color="auto"/>
            </w:tcBorders>
          </w:tcPr>
          <w:p>
            <w:pPr>
              <w:spacing w:after="0"/>
              <w:rPr>
                <w:sz w:val="5"/>
                <w:szCs w:val="5"/>
                <w:color w:val="auto"/>
              </w:rPr>
            </w:pPr>
          </w:p>
        </w:tc>
        <w:tc>
          <w:tcPr>
            <w:tcW w:w="3880" w:type="dxa"/>
            <w:vAlign w:val="bottom"/>
            <w:tcBorders>
              <w:bottom w:val="single" w:sz="8" w:color="auto"/>
              <w:right w:val="single" w:sz="8" w:color="auto"/>
            </w:tcBorders>
          </w:tcPr>
          <w:p>
            <w:pPr>
              <w:spacing w:after="0"/>
              <w:rPr>
                <w:sz w:val="5"/>
                <w:szCs w:val="5"/>
                <w:color w:val="auto"/>
              </w:rPr>
            </w:pPr>
          </w:p>
        </w:tc>
      </w:tr>
    </w:tbl>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5"/>
          <w:szCs w:val="25"/>
          <w:color w:val="auto"/>
        </w:rPr>
        <w:t>Part 3B – Buy-back restrictions and conditions</w:t>
      </w:r>
    </w:p>
    <w:p>
      <w:pPr>
        <w:spacing w:after="0" w:line="200" w:lineRule="exact"/>
        <w:rPr>
          <w:sz w:val="20"/>
          <w:szCs w:val="20"/>
          <w:color w:val="auto"/>
        </w:rPr>
      </w:pPr>
    </w:p>
    <w:p>
      <w:pPr>
        <w:spacing w:after="0" w:line="217" w:lineRule="exact"/>
        <w:rPr>
          <w:sz w:val="20"/>
          <w:szCs w:val="20"/>
          <w:color w:val="auto"/>
        </w:rPr>
      </w:pPr>
    </w:p>
    <w:tbl>
      <w:tblPr>
        <w:tblLayout w:type="fixed"/>
        <w:tblInd w:w="10" w:type="dxa"/>
        <w:tblCellMar>
          <w:top w:w="0" w:type="dxa"/>
          <w:left w:w="0" w:type="dxa"/>
          <w:bottom w:w="0" w:type="dxa"/>
          <w:right w:w="0" w:type="dxa"/>
        </w:tblCellMar>
      </w:tblPr>
      <w:tr>
        <w:trPr>
          <w:trHeight w:val="301"/>
        </w:trPr>
        <w:tc>
          <w:tcPr>
            <w:tcW w:w="128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3B.1</w:t>
            </w:r>
          </w:p>
        </w:tc>
        <w:tc>
          <w:tcPr>
            <w:tcW w:w="6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*Does the buy-back require security holder approval?</w:t>
            </w:r>
          </w:p>
        </w:tc>
        <w:tc>
          <w:tcPr>
            <w:tcW w:w="388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No</w:t>
            </w:r>
          </w:p>
        </w:tc>
      </w:tr>
      <w:tr>
        <w:trPr>
          <w:trHeight w:val="204"/>
        </w:trPr>
        <w:tc>
          <w:tcPr>
            <w:tcW w:w="1280" w:type="dxa"/>
            <w:vAlign w:val="bottom"/>
            <w:tcBorders>
              <w:left w:val="single" w:sz="8" w:color="auto"/>
              <w:right w:val="single" w:sz="8" w:color="auto"/>
            </w:tcBorders>
          </w:tcPr>
          <w:p>
            <w:pPr>
              <w:spacing w:after="0"/>
              <w:rPr>
                <w:sz w:val="17"/>
                <w:szCs w:val="17"/>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Disregard any security holder approval that has already been obtained.</w:t>
            </w:r>
          </w:p>
        </w:tc>
        <w:tc>
          <w:tcPr>
            <w:tcW w:w="3880" w:type="dxa"/>
            <w:vAlign w:val="bottom"/>
            <w:tcBorders>
              <w:right w:val="single" w:sz="8" w:color="auto"/>
            </w:tcBorders>
          </w:tcPr>
          <w:p>
            <w:pPr>
              <w:spacing w:after="0"/>
              <w:rPr>
                <w:sz w:val="17"/>
                <w:szCs w:val="17"/>
                <w:color w:val="auto"/>
              </w:rPr>
            </w:pPr>
          </w:p>
        </w:tc>
      </w:tr>
      <w:tr>
        <w:trPr>
          <w:trHeight w:val="49"/>
        </w:trPr>
        <w:tc>
          <w:tcPr>
            <w:tcW w:w="1280" w:type="dxa"/>
            <w:vAlign w:val="bottom"/>
            <w:tcBorders>
              <w:left w:val="single" w:sz="8" w:color="auto"/>
              <w:bottom w:val="single" w:sz="8" w:color="auto"/>
              <w:right w:val="single" w:sz="8" w:color="auto"/>
            </w:tcBorders>
          </w:tcPr>
          <w:p>
            <w:pPr>
              <w:spacing w:after="0"/>
              <w:rPr>
                <w:sz w:val="4"/>
                <w:szCs w:val="4"/>
                <w:color w:val="auto"/>
              </w:rPr>
            </w:pPr>
          </w:p>
        </w:tc>
        <w:tc>
          <w:tcPr>
            <w:tcW w:w="6100" w:type="dxa"/>
            <w:vAlign w:val="bottom"/>
            <w:tcBorders>
              <w:bottom w:val="single" w:sz="8" w:color="auto"/>
              <w:right w:val="single" w:sz="8" w:color="auto"/>
            </w:tcBorders>
          </w:tcPr>
          <w:p>
            <w:pPr>
              <w:spacing w:after="0"/>
              <w:rPr>
                <w:sz w:val="4"/>
                <w:szCs w:val="4"/>
                <w:color w:val="auto"/>
              </w:rPr>
            </w:pPr>
          </w:p>
        </w:tc>
        <w:tc>
          <w:tcPr>
            <w:tcW w:w="3880" w:type="dxa"/>
            <w:vAlign w:val="bottom"/>
            <w:tcBorders>
              <w:bottom w:val="single" w:sz="8" w:color="auto"/>
              <w:right w:val="single" w:sz="8" w:color="auto"/>
            </w:tcBorders>
          </w:tcPr>
          <w:p>
            <w:pPr>
              <w:spacing w:after="0"/>
              <w:rPr>
                <w:sz w:val="4"/>
                <w:szCs w:val="4"/>
                <w:color w:val="auto"/>
              </w:rPr>
            </w:pPr>
          </w:p>
        </w:tc>
      </w:tr>
      <w:tr>
        <w:trPr>
          <w:trHeight w:val="281"/>
        </w:trPr>
        <w:tc>
          <w:tcPr>
            <w:tcW w:w="12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3B.2</w:t>
            </w: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*Are there any restrictions on foreign participation in the buy-back</w:t>
            </w:r>
          </w:p>
        </w:tc>
        <w:tc>
          <w:tcPr>
            <w:tcW w:w="3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No</w:t>
            </w:r>
          </w:p>
        </w:tc>
      </w:tr>
      <w:tr>
        <w:trPr>
          <w:trHeight w:val="158"/>
        </w:trPr>
        <w:tc>
          <w:tcPr>
            <w:tcW w:w="1280" w:type="dxa"/>
            <w:vAlign w:val="bottom"/>
            <w:tcBorders>
              <w:left w:val="single" w:sz="8" w:color="auto"/>
              <w:right w:val="single" w:sz="8" w:color="auto"/>
            </w:tcBorders>
          </w:tcPr>
          <w:p>
            <w:pPr>
              <w:spacing w:after="0"/>
              <w:rPr>
                <w:sz w:val="13"/>
                <w:szCs w:val="13"/>
                <w:color w:val="auto"/>
              </w:rPr>
            </w:pPr>
          </w:p>
        </w:tc>
        <w:tc>
          <w:tcPr>
            <w:tcW w:w="6100" w:type="dxa"/>
            <w:vAlign w:val="bottom"/>
            <w:tcBorders>
              <w:right w:val="single" w:sz="8" w:color="auto"/>
            </w:tcBorders>
          </w:tcPr>
          <w:p>
            <w:pPr>
              <w:ind w:left="60"/>
              <w:spacing w:after="0" w:line="158" w:lineRule="exact"/>
              <w:rPr>
                <w:sz w:val="20"/>
                <w:szCs w:val="20"/>
                <w:color w:val="auto"/>
              </w:rPr>
            </w:pPr>
            <w:r>
              <w:rPr>
                <w:rFonts w:ascii="Arial" w:cs="Arial" w:eastAsia="Arial" w:hAnsi="Arial"/>
                <w:sz w:val="14"/>
                <w:szCs w:val="14"/>
                <w:i w:val="1"/>
                <w:iCs w:val="1"/>
                <w:color w:val="auto"/>
              </w:rPr>
              <w:t>Answer this question if your response to Q 2.1 is “Equal access scheme buy-back”,</w:t>
            </w:r>
          </w:p>
        </w:tc>
        <w:tc>
          <w:tcPr>
            <w:tcW w:w="3880" w:type="dxa"/>
            <w:vAlign w:val="bottom"/>
            <w:tcBorders>
              <w:right w:val="single" w:sz="8" w:color="auto"/>
            </w:tcBorders>
          </w:tcPr>
          <w:p>
            <w:pPr>
              <w:spacing w:after="0"/>
              <w:rPr>
                <w:sz w:val="13"/>
                <w:szCs w:val="13"/>
                <w:color w:val="auto"/>
              </w:rPr>
            </w:pPr>
          </w:p>
        </w:tc>
      </w:tr>
      <w:tr>
        <w:trPr>
          <w:trHeight w:val="188"/>
        </w:trPr>
        <w:tc>
          <w:tcPr>
            <w:tcW w:w="1280" w:type="dxa"/>
            <w:vAlign w:val="bottom"/>
            <w:tcBorders>
              <w:left w:val="single" w:sz="8" w:color="auto"/>
              <w:right w:val="single" w:sz="8" w:color="auto"/>
            </w:tcBorders>
          </w:tcPr>
          <w:p>
            <w:pPr>
              <w:spacing w:after="0"/>
              <w:rPr>
                <w:sz w:val="16"/>
                <w:szCs w:val="16"/>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“Selective buy-back” or “Other buy-back”.</w:t>
            </w:r>
          </w:p>
        </w:tc>
        <w:tc>
          <w:tcPr>
            <w:tcW w:w="3880" w:type="dxa"/>
            <w:vAlign w:val="bottom"/>
            <w:tcBorders>
              <w:right w:val="single" w:sz="8" w:color="auto"/>
            </w:tcBorders>
          </w:tcPr>
          <w:p>
            <w:pPr>
              <w:spacing w:after="0"/>
              <w:rPr>
                <w:sz w:val="16"/>
                <w:szCs w:val="16"/>
                <w:color w:val="auto"/>
              </w:rPr>
            </w:pPr>
          </w:p>
        </w:tc>
      </w:tr>
      <w:tr>
        <w:trPr>
          <w:trHeight w:val="55"/>
        </w:trPr>
        <w:tc>
          <w:tcPr>
            <w:tcW w:w="1280" w:type="dxa"/>
            <w:vAlign w:val="bottom"/>
            <w:tcBorders>
              <w:left w:val="single" w:sz="8" w:color="auto"/>
              <w:bottom w:val="single" w:sz="8" w:color="auto"/>
              <w:right w:val="single" w:sz="8" w:color="auto"/>
            </w:tcBorders>
          </w:tcPr>
          <w:p>
            <w:pPr>
              <w:spacing w:after="0"/>
              <w:rPr>
                <w:sz w:val="4"/>
                <w:szCs w:val="4"/>
                <w:color w:val="auto"/>
              </w:rPr>
            </w:pPr>
          </w:p>
        </w:tc>
        <w:tc>
          <w:tcPr>
            <w:tcW w:w="6100" w:type="dxa"/>
            <w:vAlign w:val="bottom"/>
            <w:tcBorders>
              <w:bottom w:val="single" w:sz="8" w:color="auto"/>
              <w:right w:val="single" w:sz="8" w:color="auto"/>
            </w:tcBorders>
          </w:tcPr>
          <w:p>
            <w:pPr>
              <w:spacing w:after="0"/>
              <w:rPr>
                <w:sz w:val="4"/>
                <w:szCs w:val="4"/>
                <w:color w:val="auto"/>
              </w:rPr>
            </w:pPr>
          </w:p>
        </w:tc>
        <w:tc>
          <w:tcPr>
            <w:tcW w:w="3880" w:type="dxa"/>
            <w:vAlign w:val="bottom"/>
            <w:tcBorders>
              <w:bottom w:val="single" w:sz="8" w:color="auto"/>
              <w:right w:val="single" w:sz="8" w:color="auto"/>
            </w:tcBorders>
          </w:tcPr>
          <w:p>
            <w:pPr>
              <w:spacing w:after="0"/>
              <w:rPr>
                <w:sz w:val="4"/>
                <w:szCs w:val="4"/>
                <w:color w:val="auto"/>
              </w:rPr>
            </w:pPr>
          </w:p>
        </w:tc>
      </w:tr>
      <w:tr>
        <w:trPr>
          <w:trHeight w:val="231"/>
        </w:trPr>
        <w:tc>
          <w:tcPr>
            <w:tcW w:w="12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3B.3</w:t>
            </w: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*Are there any other conditions that need to be satisfied before the buy-</w:t>
            </w:r>
          </w:p>
        </w:tc>
        <w:tc>
          <w:tcPr>
            <w:tcW w:w="3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No</w:t>
            </w:r>
          </w:p>
        </w:tc>
      </w:tr>
      <w:tr>
        <w:trPr>
          <w:trHeight w:val="239"/>
        </w:trPr>
        <w:tc>
          <w:tcPr>
            <w:tcW w:w="1280" w:type="dxa"/>
            <w:vAlign w:val="bottom"/>
            <w:tcBorders>
              <w:left w:val="single" w:sz="8" w:color="auto"/>
              <w:right w:val="single" w:sz="8" w:color="auto"/>
            </w:tcBorders>
          </w:tcPr>
          <w:p>
            <w:pPr>
              <w:spacing w:after="0"/>
              <w:rPr>
                <w:sz w:val="20"/>
                <w:szCs w:val="20"/>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back offer becomes unconditional</w:t>
            </w:r>
          </w:p>
        </w:tc>
        <w:tc>
          <w:tcPr>
            <w:tcW w:w="3880" w:type="dxa"/>
            <w:vAlign w:val="bottom"/>
            <w:tcBorders>
              <w:right w:val="single" w:sz="8" w:color="auto"/>
            </w:tcBorders>
          </w:tcPr>
          <w:p>
            <w:pPr>
              <w:spacing w:after="0"/>
              <w:rPr>
                <w:sz w:val="20"/>
                <w:szCs w:val="20"/>
                <w:color w:val="auto"/>
              </w:rPr>
            </w:pPr>
          </w:p>
        </w:tc>
      </w:tr>
      <w:tr>
        <w:trPr>
          <w:trHeight w:val="151"/>
        </w:trPr>
        <w:tc>
          <w:tcPr>
            <w:tcW w:w="1280" w:type="dxa"/>
            <w:vAlign w:val="bottom"/>
            <w:tcBorders>
              <w:left w:val="single" w:sz="8" w:color="auto"/>
              <w:right w:val="single" w:sz="8" w:color="auto"/>
            </w:tcBorders>
          </w:tcPr>
          <w:p>
            <w:pPr>
              <w:spacing w:after="0"/>
              <w:rPr>
                <w:sz w:val="13"/>
                <w:szCs w:val="13"/>
                <w:color w:val="auto"/>
              </w:rPr>
            </w:pPr>
          </w:p>
        </w:tc>
        <w:tc>
          <w:tcPr>
            <w:tcW w:w="6100" w:type="dxa"/>
            <w:vAlign w:val="bottom"/>
            <w:tcBorders>
              <w:right w:val="single" w:sz="8" w:color="auto"/>
            </w:tcBorders>
          </w:tcPr>
          <w:p>
            <w:pPr>
              <w:ind w:left="60"/>
              <w:spacing w:after="0" w:line="151" w:lineRule="exact"/>
              <w:rPr>
                <w:sz w:val="20"/>
                <w:szCs w:val="20"/>
                <w:color w:val="auto"/>
              </w:rPr>
            </w:pPr>
            <w:r>
              <w:rPr>
                <w:rFonts w:ascii="Arial" w:cs="Arial" w:eastAsia="Arial" w:hAnsi="Arial"/>
                <w:sz w:val="14"/>
                <w:szCs w:val="14"/>
                <w:i w:val="1"/>
                <w:iCs w:val="1"/>
                <w:color w:val="auto"/>
              </w:rPr>
              <w:t>Answer this question if your response to Q 2.1 is “Employee share scheme buy-back, “Equal</w:t>
            </w:r>
          </w:p>
        </w:tc>
        <w:tc>
          <w:tcPr>
            <w:tcW w:w="3880" w:type="dxa"/>
            <w:vAlign w:val="bottom"/>
            <w:tcBorders>
              <w:right w:val="single" w:sz="8" w:color="auto"/>
            </w:tcBorders>
          </w:tcPr>
          <w:p>
            <w:pPr>
              <w:spacing w:after="0"/>
              <w:rPr>
                <w:sz w:val="13"/>
                <w:szCs w:val="13"/>
                <w:color w:val="auto"/>
              </w:rPr>
            </w:pPr>
          </w:p>
        </w:tc>
      </w:tr>
      <w:tr>
        <w:trPr>
          <w:trHeight w:val="188"/>
        </w:trPr>
        <w:tc>
          <w:tcPr>
            <w:tcW w:w="1280" w:type="dxa"/>
            <w:vAlign w:val="bottom"/>
            <w:tcBorders>
              <w:left w:val="single" w:sz="8" w:color="auto"/>
              <w:right w:val="single" w:sz="8" w:color="auto"/>
            </w:tcBorders>
          </w:tcPr>
          <w:p>
            <w:pPr>
              <w:spacing w:after="0"/>
              <w:rPr>
                <w:sz w:val="16"/>
                <w:szCs w:val="16"/>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access scheme buy-back”, “Selective buy-back” or “Other buy-back”</w:t>
            </w:r>
          </w:p>
        </w:tc>
        <w:tc>
          <w:tcPr>
            <w:tcW w:w="3880" w:type="dxa"/>
            <w:vAlign w:val="bottom"/>
            <w:tcBorders>
              <w:right w:val="single" w:sz="8" w:color="auto"/>
            </w:tcBorders>
          </w:tcPr>
          <w:p>
            <w:pPr>
              <w:spacing w:after="0"/>
              <w:rPr>
                <w:sz w:val="16"/>
                <w:szCs w:val="16"/>
                <w:color w:val="auto"/>
              </w:rPr>
            </w:pPr>
          </w:p>
        </w:tc>
      </w:tr>
      <w:tr>
        <w:trPr>
          <w:trHeight w:val="49"/>
        </w:trPr>
        <w:tc>
          <w:tcPr>
            <w:tcW w:w="1280" w:type="dxa"/>
            <w:vAlign w:val="bottom"/>
            <w:tcBorders>
              <w:left w:val="single" w:sz="8" w:color="auto"/>
              <w:bottom w:val="single" w:sz="8" w:color="auto"/>
              <w:right w:val="single" w:sz="8" w:color="auto"/>
            </w:tcBorders>
          </w:tcPr>
          <w:p>
            <w:pPr>
              <w:spacing w:after="0"/>
              <w:rPr>
                <w:sz w:val="4"/>
                <w:szCs w:val="4"/>
                <w:color w:val="auto"/>
              </w:rPr>
            </w:pPr>
          </w:p>
        </w:tc>
        <w:tc>
          <w:tcPr>
            <w:tcW w:w="6100" w:type="dxa"/>
            <w:vAlign w:val="bottom"/>
            <w:tcBorders>
              <w:bottom w:val="single" w:sz="8" w:color="auto"/>
              <w:right w:val="single" w:sz="8" w:color="auto"/>
            </w:tcBorders>
          </w:tcPr>
          <w:p>
            <w:pPr>
              <w:spacing w:after="0"/>
              <w:rPr>
                <w:sz w:val="4"/>
                <w:szCs w:val="4"/>
                <w:color w:val="auto"/>
              </w:rPr>
            </w:pPr>
          </w:p>
        </w:tc>
        <w:tc>
          <w:tcPr>
            <w:tcW w:w="3880" w:type="dxa"/>
            <w:vAlign w:val="bottom"/>
            <w:tcBorders>
              <w:bottom w:val="single" w:sz="8" w:color="auto"/>
              <w:right w:val="single" w:sz="8" w:color="auto"/>
            </w:tcBorders>
          </w:tcPr>
          <w:p>
            <w:pPr>
              <w:spacing w:after="0"/>
              <w:rPr>
                <w:sz w:val="4"/>
                <w:szCs w:val="4"/>
                <w:color w:val="auto"/>
              </w:rPr>
            </w:pPr>
          </w:p>
        </w:tc>
      </w:tr>
    </w:tbl>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5"/>
          <w:szCs w:val="25"/>
          <w:color w:val="auto"/>
        </w:rPr>
        <w:t>Part 3C - Key 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40575" cy="5829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0575" cy="582930"/>
                    </a:xfrm>
                    <a:prstGeom prst="rect">
                      <a:avLst/>
                    </a:prstGeom>
                    <a:noFill/>
                  </pic:spPr>
                </pic:pic>
              </a:graphicData>
            </a:graphic>
          </wp:anchor>
        </w:drawing>
      </w:r>
    </w:p>
    <w:p>
      <w:pPr>
        <w:spacing w:after="0" w:line="196"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Employee Share Scheme, Selective and Other Buy-Backs</w:t>
      </w:r>
    </w:p>
    <w:p>
      <w:pPr>
        <w:spacing w:after="0" w:line="40" w:lineRule="exact"/>
        <w:rPr>
          <w:sz w:val="20"/>
          <w:szCs w:val="20"/>
          <w:color w:val="auto"/>
        </w:rPr>
      </w:pPr>
    </w:p>
    <w:p>
      <w:pPr>
        <w:ind w:left="80"/>
        <w:spacing w:after="0"/>
        <w:rPr>
          <w:sz w:val="20"/>
          <w:szCs w:val="20"/>
          <w:color w:val="auto"/>
        </w:rPr>
      </w:pPr>
      <w:r>
        <w:rPr>
          <w:rFonts w:ascii="Arial" w:cs="Arial" w:eastAsia="Arial" w:hAnsi="Arial"/>
          <w:sz w:val="14"/>
          <w:szCs w:val="14"/>
          <w:i w:val="1"/>
          <w:iCs w:val="1"/>
          <w:color w:val="auto"/>
        </w:rPr>
        <w:t>Answer the questions in this part if your response to Q 2.1 is “Employee share scheme buy-back”, “Selective buy-back” or “Other buy-back”</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309"/>
        </w:trPr>
        <w:tc>
          <w:tcPr>
            <w:tcW w:w="128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3C.1</w:t>
            </w:r>
          </w:p>
        </w:tc>
        <w:tc>
          <w:tcPr>
            <w:tcW w:w="6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Anticipated date buy-back will occur</w:t>
            </w:r>
          </w:p>
        </w:tc>
        <w:tc>
          <w:tcPr>
            <w:tcW w:w="3880" w:type="dxa"/>
            <w:vAlign w:val="bottom"/>
            <w:tcBorders>
              <w:top w:val="single" w:sz="8" w:color="auto"/>
            </w:tcBorders>
          </w:tcPr>
          <w:p>
            <w:pPr>
              <w:jc w:val="right"/>
              <w:ind w:right="2930"/>
              <w:spacing w:after="0"/>
              <w:rPr>
                <w:sz w:val="20"/>
                <w:szCs w:val="20"/>
                <w:color w:val="auto"/>
              </w:rPr>
            </w:pPr>
            <w:r>
              <w:rPr>
                <w:rFonts w:ascii="Arial" w:cs="Arial" w:eastAsia="Arial" w:hAnsi="Arial"/>
                <w:sz w:val="18"/>
                <w:szCs w:val="18"/>
                <w:color w:val="auto"/>
              </w:rPr>
              <w:t>22/9/2021</w:t>
            </w:r>
          </w:p>
        </w:tc>
      </w:tr>
      <w:tr>
        <w:trPr>
          <w:trHeight w:val="42"/>
        </w:trPr>
        <w:tc>
          <w:tcPr>
            <w:tcW w:w="1280" w:type="dxa"/>
            <w:vAlign w:val="bottom"/>
            <w:tcBorders>
              <w:bottom w:val="single" w:sz="8" w:color="auto"/>
              <w:right w:val="single" w:sz="8" w:color="auto"/>
            </w:tcBorders>
          </w:tcPr>
          <w:p>
            <w:pPr>
              <w:spacing w:after="0"/>
              <w:rPr>
                <w:sz w:val="3"/>
                <w:szCs w:val="3"/>
                <w:color w:val="auto"/>
              </w:rPr>
            </w:pPr>
          </w:p>
        </w:tc>
        <w:tc>
          <w:tcPr>
            <w:tcW w:w="6100" w:type="dxa"/>
            <w:vAlign w:val="bottom"/>
            <w:tcBorders>
              <w:bottom w:val="single" w:sz="8" w:color="auto"/>
              <w:right w:val="single" w:sz="8" w:color="auto"/>
            </w:tcBorders>
          </w:tcPr>
          <w:p>
            <w:pPr>
              <w:spacing w:after="0"/>
              <w:rPr>
                <w:sz w:val="3"/>
                <w:szCs w:val="3"/>
                <w:color w:val="auto"/>
              </w:rPr>
            </w:pPr>
          </w:p>
        </w:tc>
        <w:tc>
          <w:tcPr>
            <w:tcW w:w="3880" w:type="dxa"/>
            <w:vAlign w:val="bottom"/>
            <w:tcBorders>
              <w:bottom w:val="single" w:sz="8" w:color="auto"/>
            </w:tcBorders>
          </w:tcPr>
          <w:p>
            <w:pPr>
              <w:spacing w:after="0"/>
              <w:rPr>
                <w:sz w:val="3"/>
                <w:szCs w:val="3"/>
                <w:color w:val="auto"/>
              </w:rPr>
            </w:pPr>
          </w:p>
        </w:tc>
      </w:tr>
    </w:tbl>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25"/>
          <w:szCs w:val="25"/>
          <w:color w:val="auto"/>
        </w:rPr>
        <w:t>Part 3D – Other information</w:t>
      </w:r>
    </w:p>
    <w:p>
      <w:pPr>
        <w:spacing w:after="0" w:line="134"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124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3D.1</w:t>
            </w:r>
          </w:p>
        </w:tc>
        <w:tc>
          <w:tcPr>
            <w:tcW w:w="612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Any other information the entity wishes to notify to ASX about the buy-back</w:t>
            </w:r>
          </w:p>
        </w:tc>
        <w:tc>
          <w:tcPr>
            <w:tcW w:w="3900" w:type="dxa"/>
            <w:vAlign w:val="bottom"/>
            <w:tcBorders>
              <w:top w:val="single" w:sz="8" w:color="auto"/>
              <w:bottom w:val="single" w:sz="8" w:color="auto"/>
              <w:right w:val="single" w:sz="8" w:color="auto"/>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728345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80"/>
        <w:spacing w:after="0"/>
        <w:rPr>
          <w:sz w:val="20"/>
          <w:szCs w:val="20"/>
          <w:color w:val="auto"/>
        </w:rPr>
      </w:pPr>
      <w:r>
        <w:rPr>
          <w:rFonts w:ascii="Arial" w:cs="Arial" w:eastAsia="Arial" w:hAnsi="Arial"/>
          <w:sz w:val="16"/>
          <w:szCs w:val="16"/>
          <w:color w:val="auto"/>
        </w:rPr>
        <w:t>+ See chapter 19 for defined terms</w:t>
      </w:r>
    </w:p>
    <w:p>
      <w:pPr>
        <w:spacing w:after="0" w:line="86" w:lineRule="exact"/>
        <w:rPr>
          <w:sz w:val="20"/>
          <w:szCs w:val="20"/>
          <w:color w:val="auto"/>
        </w:rPr>
      </w:pPr>
    </w:p>
    <w:p>
      <w:pPr>
        <w:spacing w:after="0"/>
        <w:tabs>
          <w:tab w:leader="none" w:pos="1240" w:val="left"/>
        </w:tabs>
        <w:rPr>
          <w:sz w:val="20"/>
          <w:szCs w:val="20"/>
          <w:color w:val="auto"/>
        </w:rPr>
      </w:pPr>
      <w:r>
        <w:rPr>
          <w:rFonts w:ascii="Arial" w:cs="Arial" w:eastAsia="Arial" w:hAnsi="Arial"/>
          <w:sz w:val="16"/>
          <w:szCs w:val="16"/>
          <w:i w:val="1"/>
          <w:iCs w:val="1"/>
          <w:color w:val="auto"/>
        </w:rPr>
        <w:t>5 June 2021</w:t>
      </w:r>
      <w:r>
        <w:rPr>
          <w:sz w:val="20"/>
          <w:szCs w:val="20"/>
          <w:color w:val="auto"/>
        </w:rPr>
        <w:tab/>
      </w:r>
      <w:r>
        <w:rPr>
          <w:rFonts w:ascii="Arial" w:cs="Arial" w:eastAsia="Arial" w:hAnsi="Arial"/>
          <w:sz w:val="16"/>
          <w:szCs w:val="16"/>
          <w:color w:val="auto"/>
        </w:rPr>
        <w:t>Page 3</w:t>
      </w:r>
    </w:p>
    <w:p>
      <w:pPr>
        <w:sectPr>
          <w:pgSz w:w="11900" w:h="16838" w:orient="portrait"/>
          <w:cols w:equalWidth="0" w:num="1">
            <w:col w:w="11260"/>
          </w:cols>
          <w:pgMar w:left="320" w:top="283" w:right="319" w:bottom="1440" w:gutter="0" w:footer="0" w:header="0"/>
        </w:sectPr>
      </w:pPr>
    </w:p>
    <w:bookmarkStart w:id="6" w:name="page7"/>
    <w:bookmarkEnd w:id="6"/>
    <w:p>
      <w:pPr>
        <w:ind w:left="440"/>
        <w:spacing w:after="0"/>
        <w:rPr>
          <w:sz w:val="20"/>
          <w:szCs w:val="20"/>
          <w:color w:val="auto"/>
        </w:rPr>
      </w:pPr>
      <w:r>
        <w:rPr>
          <w:rFonts w:ascii="Arial" w:cs="Arial" w:eastAsia="Arial" w:hAnsi="Arial"/>
          <w:sz w:val="18"/>
          <w:szCs w:val="18"/>
          <w:b w:val="1"/>
          <w:bCs w:val="1"/>
          <w:color w:val="auto"/>
        </w:rPr>
        <w:t>Appendix 3C</w:t>
      </w:r>
    </w:p>
    <w:p>
      <w:pPr>
        <w:spacing w:after="0" w:line="14"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Notification of buy-back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25"/>
          <w:szCs w:val="25"/>
          <w:color w:val="auto"/>
        </w:rPr>
        <w:t>Part 4 – Daily buy-back notification</w:t>
      </w:r>
    </w:p>
    <w:p>
      <w:pPr>
        <w:spacing w:after="0" w:line="106" w:lineRule="exact"/>
        <w:rPr>
          <w:sz w:val="20"/>
          <w:szCs w:val="20"/>
          <w:color w:val="auto"/>
        </w:rPr>
      </w:pPr>
    </w:p>
    <w:p>
      <w:pPr>
        <w:ind w:right="60"/>
        <w:spacing w:after="0" w:line="241" w:lineRule="auto"/>
        <w:rPr>
          <w:sz w:val="20"/>
          <w:szCs w:val="20"/>
          <w:color w:val="auto"/>
        </w:rPr>
      </w:pPr>
      <w:r>
        <w:rPr>
          <w:rFonts w:ascii="Arial" w:cs="Arial" w:eastAsia="Arial" w:hAnsi="Arial"/>
          <w:sz w:val="14"/>
          <w:szCs w:val="14"/>
          <w:i w:val="1"/>
          <w:iCs w:val="1"/>
          <w:color w:val="auto"/>
        </w:rPr>
        <w:t>Answer the questions in this part if your response to Q 2.1 is “Employee share scheme buy-back”, “On-market buy-back”, “Equal access share scheme buy-back” or “Other buy-back”) and you are giving a daily buy-back notification under listing rule 3.8A.</w:t>
      </w:r>
    </w:p>
    <w:p>
      <w:pPr>
        <w:spacing w:after="0" w:line="14" w:lineRule="exact"/>
        <w:rPr>
          <w:sz w:val="20"/>
          <w:szCs w:val="20"/>
          <w:color w:val="auto"/>
        </w:rPr>
      </w:pPr>
    </w:p>
    <w:p>
      <w:pPr>
        <w:ind w:right="320"/>
        <w:spacing w:after="0" w:line="261" w:lineRule="auto"/>
        <w:rPr>
          <w:sz w:val="20"/>
          <w:szCs w:val="20"/>
          <w:color w:val="auto"/>
        </w:rPr>
      </w:pPr>
      <w:r>
        <w:rPr>
          <w:rFonts w:ascii="Arial" w:cs="Arial" w:eastAsia="Arial" w:hAnsi="Arial"/>
          <w:sz w:val="14"/>
          <w:szCs w:val="14"/>
          <w:i w:val="1"/>
          <w:iCs w:val="1"/>
          <w:color w:val="auto"/>
        </w:rPr>
        <w:t>A daily buy-back notification must be submitted for these types of buy-backs at least half an hour before the commencement of trading on the business day after any day on which securities are bought back (per listing rule 3.8A).</w:t>
      </w:r>
    </w:p>
    <w:p>
      <w:pPr>
        <w:spacing w:after="0" w:line="15"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1080" w:type="dxa"/>
            <w:vAlign w:val="bottom"/>
            <w:tcBorders>
              <w:top w:val="single" w:sz="8" w:color="auto"/>
              <w:left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4.1</w:t>
            </w:r>
          </w:p>
        </w:tc>
        <w:tc>
          <w:tcPr>
            <w:tcW w:w="360" w:type="dxa"/>
            <w:vAlign w:val="bottom"/>
            <w:tcBorders>
              <w:top w:val="single" w:sz="8" w:color="auto"/>
              <w:bottom w:val="single" w:sz="8" w:color="auto"/>
              <w:right w:val="single" w:sz="8" w:color="auto"/>
            </w:tcBorders>
          </w:tcPr>
          <w:p>
            <w:pPr>
              <w:spacing w:after="0"/>
              <w:rPr>
                <w:sz w:val="21"/>
                <w:szCs w:val="21"/>
                <w:color w:val="auto"/>
              </w:rPr>
            </w:pPr>
          </w:p>
        </w:tc>
        <w:tc>
          <w:tcPr>
            <w:tcW w:w="32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rPr>
              <w:t>*Date of this notification</w:t>
            </w:r>
          </w:p>
        </w:tc>
        <w:tc>
          <w:tcPr>
            <w:tcW w:w="3260" w:type="dxa"/>
            <w:vAlign w:val="bottom"/>
            <w:tcBorders>
              <w:top w:val="single" w:sz="8" w:color="auto"/>
              <w:bottom w:val="single" w:sz="8" w:color="auto"/>
              <w:right w:val="single" w:sz="8" w:color="auto"/>
            </w:tcBorders>
          </w:tcPr>
          <w:p>
            <w:pPr>
              <w:spacing w:after="0"/>
              <w:rPr>
                <w:sz w:val="21"/>
                <w:szCs w:val="21"/>
                <w:color w:val="auto"/>
              </w:rPr>
            </w:pPr>
          </w:p>
        </w:tc>
        <w:tc>
          <w:tcPr>
            <w:tcW w:w="330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02/11/2026</w:t>
            </w:r>
          </w:p>
        </w:tc>
      </w:tr>
      <w:tr>
        <w:trPr>
          <w:trHeight w:val="223"/>
        </w:trPr>
        <w:tc>
          <w:tcPr>
            <w:tcW w:w="108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4.2</w:t>
            </w:r>
          </w:p>
        </w:tc>
        <w:tc>
          <w:tcPr>
            <w:tcW w:w="360" w:type="dxa"/>
            <w:vAlign w:val="bottom"/>
            <w:tcBorders>
              <w:bottom w:val="single" w:sz="8" w:color="auto"/>
              <w:right w:val="single" w:sz="8" w:color="auto"/>
            </w:tcBorders>
          </w:tcPr>
          <w:p>
            <w:pPr>
              <w:spacing w:after="0"/>
              <w:rPr>
                <w:sz w:val="19"/>
                <w:szCs w:val="19"/>
                <w:color w:val="auto"/>
              </w:rPr>
            </w:pPr>
          </w:p>
        </w:tc>
        <w:tc>
          <w:tcPr>
            <w:tcW w:w="652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*Previous day on which +securities were bought back</w:t>
            </w:r>
          </w:p>
        </w:tc>
        <w:tc>
          <w:tcPr>
            <w:tcW w:w="3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30/10/2026</w:t>
            </w:r>
          </w:p>
        </w:tc>
      </w:tr>
      <w:tr>
        <w:trPr>
          <w:trHeight w:val="223"/>
        </w:trPr>
        <w:tc>
          <w:tcPr>
            <w:tcW w:w="1080" w:type="dxa"/>
            <w:vAlign w:val="bottom"/>
            <w:tcBorders>
              <w:left w:val="single" w:sz="8" w:color="auto"/>
              <w:bottom w:val="single" w:sz="8" w:color="auto"/>
            </w:tcBorders>
          </w:tcPr>
          <w:p>
            <w:pPr>
              <w:spacing w:after="0"/>
              <w:rPr>
                <w:sz w:val="19"/>
                <w:szCs w:val="19"/>
                <w:color w:val="auto"/>
              </w:rPr>
            </w:pPr>
          </w:p>
        </w:tc>
        <w:tc>
          <w:tcPr>
            <w:tcW w:w="360" w:type="dxa"/>
            <w:vAlign w:val="bottom"/>
            <w:tcBorders>
              <w:bottom w:val="single" w:sz="8" w:color="auto"/>
              <w:right w:val="single" w:sz="8" w:color="auto"/>
            </w:tcBorders>
          </w:tcPr>
          <w:p>
            <w:pPr>
              <w:spacing w:after="0"/>
              <w:rPr>
                <w:sz w:val="19"/>
                <w:szCs w:val="19"/>
                <w:color w:val="auto"/>
              </w:rPr>
            </w:pPr>
          </w:p>
        </w:tc>
        <w:tc>
          <w:tcPr>
            <w:tcW w:w="3260" w:type="dxa"/>
            <w:vAlign w:val="bottom"/>
            <w:tcBorders>
              <w:bottom w:val="single" w:sz="8" w:color="auto"/>
              <w:right w:val="single" w:sz="8" w:color="auto"/>
            </w:tcBorders>
          </w:tcPr>
          <w:p>
            <w:pPr>
              <w:spacing w:after="0"/>
              <w:rPr>
                <w:sz w:val="19"/>
                <w:szCs w:val="19"/>
                <w:color w:val="auto"/>
              </w:rPr>
            </w:pPr>
          </w:p>
        </w:tc>
        <w:tc>
          <w:tcPr>
            <w:tcW w:w="32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Before previous day</w:t>
            </w:r>
          </w:p>
        </w:tc>
        <w:tc>
          <w:tcPr>
            <w:tcW w:w="3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On previous day</w:t>
            </w:r>
          </w:p>
        </w:tc>
      </w:tr>
      <w:tr>
        <w:trPr>
          <w:trHeight w:val="177"/>
        </w:trPr>
        <w:tc>
          <w:tcPr>
            <w:tcW w:w="1080" w:type="dxa"/>
            <w:vAlign w:val="bottom"/>
            <w:tcBorders>
              <w:left w:val="single" w:sz="8" w:color="auto"/>
            </w:tcBorders>
          </w:tcPr>
          <w:p>
            <w:pPr>
              <w:ind w:left="80"/>
              <w:spacing w:after="0" w:line="177" w:lineRule="exact"/>
              <w:rPr>
                <w:sz w:val="20"/>
                <w:szCs w:val="20"/>
                <w:color w:val="auto"/>
              </w:rPr>
            </w:pPr>
            <w:r>
              <w:rPr>
                <w:rFonts w:ascii="Arial" w:cs="Arial" w:eastAsia="Arial" w:hAnsi="Arial"/>
                <w:sz w:val="18"/>
                <w:szCs w:val="18"/>
                <w:color w:val="auto"/>
              </w:rPr>
              <w:t>4.3</w:t>
            </w:r>
          </w:p>
        </w:tc>
        <w:tc>
          <w:tcPr>
            <w:tcW w:w="360" w:type="dxa"/>
            <w:vAlign w:val="bottom"/>
            <w:tcBorders>
              <w:right w:val="single" w:sz="8" w:color="auto"/>
            </w:tcBorders>
          </w:tcPr>
          <w:p>
            <w:pPr>
              <w:spacing w:after="0"/>
              <w:rPr>
                <w:sz w:val="15"/>
                <w:szCs w:val="15"/>
                <w:color w:val="auto"/>
              </w:rPr>
            </w:pPr>
          </w:p>
        </w:tc>
        <w:tc>
          <w:tcPr>
            <w:tcW w:w="3260" w:type="dxa"/>
            <w:vAlign w:val="bottom"/>
            <w:tcBorders>
              <w:right w:val="single" w:sz="8" w:color="auto"/>
            </w:tcBorders>
          </w:tcPr>
          <w:p>
            <w:pPr>
              <w:ind w:left="60"/>
              <w:spacing w:after="0" w:line="177" w:lineRule="exact"/>
              <w:rPr>
                <w:sz w:val="20"/>
                <w:szCs w:val="20"/>
                <w:color w:val="auto"/>
              </w:rPr>
            </w:pPr>
            <w:r>
              <w:rPr>
                <w:rFonts w:ascii="Arial" w:cs="Arial" w:eastAsia="Arial" w:hAnsi="Arial"/>
                <w:sz w:val="18"/>
                <w:szCs w:val="18"/>
                <w:color w:val="auto"/>
              </w:rPr>
              <w:t>*Total number of +securities bought</w:t>
            </w:r>
          </w:p>
        </w:tc>
        <w:tc>
          <w:tcPr>
            <w:tcW w:w="3260" w:type="dxa"/>
            <w:vAlign w:val="bottom"/>
            <w:tcBorders>
              <w:right w:val="single" w:sz="8" w:color="auto"/>
            </w:tcBorders>
          </w:tcPr>
          <w:p>
            <w:pPr>
              <w:ind w:left="60"/>
              <w:spacing w:after="0" w:line="177" w:lineRule="exact"/>
              <w:rPr>
                <w:sz w:val="20"/>
                <w:szCs w:val="20"/>
                <w:color w:val="auto"/>
              </w:rPr>
            </w:pPr>
            <w:r>
              <w:rPr>
                <w:rFonts w:ascii="Arial" w:cs="Arial" w:eastAsia="Arial" w:hAnsi="Arial"/>
                <w:sz w:val="18"/>
                <w:szCs w:val="18"/>
                <w:color w:val="auto"/>
              </w:rPr>
              <w:t>13,891,767</w:t>
            </w:r>
          </w:p>
        </w:tc>
        <w:tc>
          <w:tcPr>
            <w:tcW w:w="3300" w:type="dxa"/>
            <w:vAlign w:val="bottom"/>
            <w:tcBorders>
              <w:right w:val="single" w:sz="8" w:color="auto"/>
            </w:tcBorders>
          </w:tcPr>
          <w:p>
            <w:pPr>
              <w:ind w:left="60"/>
              <w:spacing w:after="0" w:line="177" w:lineRule="exact"/>
              <w:rPr>
                <w:sz w:val="20"/>
                <w:szCs w:val="20"/>
                <w:color w:val="auto"/>
              </w:rPr>
            </w:pPr>
            <w:r>
              <w:rPr>
                <w:rFonts w:ascii="Arial" w:cs="Arial" w:eastAsia="Arial" w:hAnsi="Arial"/>
                <w:sz w:val="18"/>
                <w:szCs w:val="18"/>
                <w:color w:val="auto"/>
              </w:rPr>
              <w:t>58,482</w:t>
            </w:r>
          </w:p>
        </w:tc>
      </w:tr>
      <w:tr>
        <w:trPr>
          <w:trHeight w:val="181"/>
        </w:trPr>
        <w:tc>
          <w:tcPr>
            <w:tcW w:w="1080" w:type="dxa"/>
            <w:vAlign w:val="bottom"/>
            <w:tcBorders>
              <w:left w:val="single" w:sz="8" w:color="auto"/>
            </w:tcBorders>
          </w:tcPr>
          <w:p>
            <w:pPr>
              <w:spacing w:after="0"/>
              <w:rPr>
                <w:sz w:val="15"/>
                <w:szCs w:val="15"/>
                <w:color w:val="auto"/>
              </w:rPr>
            </w:pPr>
          </w:p>
        </w:tc>
        <w:tc>
          <w:tcPr>
            <w:tcW w:w="360" w:type="dxa"/>
            <w:vAlign w:val="bottom"/>
            <w:tcBorders>
              <w:right w:val="single" w:sz="8" w:color="auto"/>
            </w:tcBorders>
          </w:tcPr>
          <w:p>
            <w:pPr>
              <w:spacing w:after="0"/>
              <w:rPr>
                <w:sz w:val="15"/>
                <w:szCs w:val="15"/>
                <w:color w:val="auto"/>
              </w:rPr>
            </w:pPr>
          </w:p>
        </w:tc>
        <w:tc>
          <w:tcPr>
            <w:tcW w:w="3260" w:type="dxa"/>
            <w:vAlign w:val="bottom"/>
            <w:tcBorders>
              <w:right w:val="single" w:sz="8" w:color="auto"/>
            </w:tcBorders>
          </w:tcPr>
          <w:p>
            <w:pPr>
              <w:ind w:left="60"/>
              <w:spacing w:after="0" w:line="181" w:lineRule="exact"/>
              <w:rPr>
                <w:sz w:val="20"/>
                <w:szCs w:val="20"/>
                <w:color w:val="auto"/>
              </w:rPr>
            </w:pPr>
            <w:r>
              <w:rPr>
                <w:rFonts w:ascii="Arial" w:cs="Arial" w:eastAsia="Arial" w:hAnsi="Arial"/>
                <w:sz w:val="18"/>
                <w:szCs w:val="18"/>
                <w:color w:val="auto"/>
              </w:rPr>
              <w:t>back, or in relation to which</w:t>
            </w:r>
          </w:p>
        </w:tc>
        <w:tc>
          <w:tcPr>
            <w:tcW w:w="3260" w:type="dxa"/>
            <w:vAlign w:val="bottom"/>
            <w:tcBorders>
              <w:right w:val="single" w:sz="8" w:color="auto"/>
            </w:tcBorders>
          </w:tcPr>
          <w:p>
            <w:pPr>
              <w:spacing w:after="0"/>
              <w:rPr>
                <w:sz w:val="15"/>
                <w:szCs w:val="15"/>
                <w:color w:val="auto"/>
              </w:rPr>
            </w:pPr>
          </w:p>
        </w:tc>
        <w:tc>
          <w:tcPr>
            <w:tcW w:w="3300" w:type="dxa"/>
            <w:vAlign w:val="bottom"/>
            <w:tcBorders>
              <w:right w:val="single" w:sz="8" w:color="auto"/>
            </w:tcBorders>
          </w:tcPr>
          <w:p>
            <w:pPr>
              <w:spacing w:after="0"/>
              <w:rPr>
                <w:sz w:val="15"/>
                <w:szCs w:val="15"/>
                <w:color w:val="auto"/>
              </w:rPr>
            </w:pPr>
          </w:p>
        </w:tc>
      </w:tr>
      <w:tr>
        <w:trPr>
          <w:trHeight w:val="230"/>
        </w:trPr>
        <w:tc>
          <w:tcPr>
            <w:tcW w:w="1080" w:type="dxa"/>
            <w:vAlign w:val="bottom"/>
            <w:tcBorders>
              <w:left w:val="single" w:sz="8" w:color="auto"/>
              <w:bottom w:val="single" w:sz="8" w:color="auto"/>
            </w:tcBorders>
          </w:tcPr>
          <w:p>
            <w:pPr>
              <w:spacing w:after="0"/>
              <w:rPr>
                <w:sz w:val="19"/>
                <w:szCs w:val="19"/>
                <w:color w:val="auto"/>
              </w:rPr>
            </w:pPr>
          </w:p>
        </w:tc>
        <w:tc>
          <w:tcPr>
            <w:tcW w:w="360" w:type="dxa"/>
            <w:vAlign w:val="bottom"/>
            <w:tcBorders>
              <w:bottom w:val="single" w:sz="8" w:color="auto"/>
              <w:right w:val="single" w:sz="8" w:color="auto"/>
            </w:tcBorders>
          </w:tcPr>
          <w:p>
            <w:pPr>
              <w:spacing w:after="0"/>
              <w:rPr>
                <w:sz w:val="19"/>
                <w:szCs w:val="19"/>
                <w:color w:val="auto"/>
              </w:rPr>
            </w:pPr>
          </w:p>
        </w:tc>
        <w:tc>
          <w:tcPr>
            <w:tcW w:w="32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acceptances have been received</w:t>
            </w:r>
          </w:p>
        </w:tc>
        <w:tc>
          <w:tcPr>
            <w:tcW w:w="3260" w:type="dxa"/>
            <w:vAlign w:val="bottom"/>
            <w:tcBorders>
              <w:bottom w:val="single" w:sz="8" w:color="auto"/>
              <w:right w:val="single" w:sz="8" w:color="auto"/>
            </w:tcBorders>
          </w:tcPr>
          <w:p>
            <w:pPr>
              <w:spacing w:after="0"/>
              <w:rPr>
                <w:sz w:val="19"/>
                <w:szCs w:val="19"/>
                <w:color w:val="auto"/>
              </w:rPr>
            </w:pPr>
          </w:p>
        </w:tc>
        <w:tc>
          <w:tcPr>
            <w:tcW w:w="3300" w:type="dxa"/>
            <w:vAlign w:val="bottom"/>
            <w:tcBorders>
              <w:bottom w:val="single" w:sz="8" w:color="auto"/>
              <w:right w:val="single" w:sz="8" w:color="auto"/>
            </w:tcBorders>
          </w:tcPr>
          <w:p>
            <w:pPr>
              <w:spacing w:after="0"/>
              <w:rPr>
                <w:sz w:val="19"/>
                <w:szCs w:val="19"/>
                <w:color w:val="auto"/>
              </w:rPr>
            </w:pPr>
          </w:p>
        </w:tc>
      </w:tr>
      <w:tr>
        <w:trPr>
          <w:trHeight w:val="177"/>
        </w:trPr>
        <w:tc>
          <w:tcPr>
            <w:tcW w:w="1080" w:type="dxa"/>
            <w:vAlign w:val="bottom"/>
            <w:tcBorders>
              <w:left w:val="single" w:sz="8" w:color="auto"/>
            </w:tcBorders>
          </w:tcPr>
          <w:p>
            <w:pPr>
              <w:ind w:left="80"/>
              <w:spacing w:after="0" w:line="177" w:lineRule="exact"/>
              <w:rPr>
                <w:sz w:val="20"/>
                <w:szCs w:val="20"/>
                <w:color w:val="auto"/>
              </w:rPr>
            </w:pPr>
            <w:r>
              <w:rPr>
                <w:rFonts w:ascii="Arial" w:cs="Arial" w:eastAsia="Arial" w:hAnsi="Arial"/>
                <w:sz w:val="18"/>
                <w:szCs w:val="18"/>
                <w:color w:val="auto"/>
              </w:rPr>
              <w:t>4.4</w:t>
            </w:r>
          </w:p>
        </w:tc>
        <w:tc>
          <w:tcPr>
            <w:tcW w:w="360" w:type="dxa"/>
            <w:vAlign w:val="bottom"/>
            <w:tcBorders>
              <w:right w:val="single" w:sz="8" w:color="auto"/>
            </w:tcBorders>
          </w:tcPr>
          <w:p>
            <w:pPr>
              <w:spacing w:after="0"/>
              <w:rPr>
                <w:sz w:val="15"/>
                <w:szCs w:val="15"/>
                <w:color w:val="auto"/>
              </w:rPr>
            </w:pPr>
          </w:p>
        </w:tc>
        <w:tc>
          <w:tcPr>
            <w:tcW w:w="3260" w:type="dxa"/>
            <w:vAlign w:val="bottom"/>
            <w:tcBorders>
              <w:right w:val="single" w:sz="8" w:color="auto"/>
            </w:tcBorders>
          </w:tcPr>
          <w:p>
            <w:pPr>
              <w:ind w:left="60"/>
              <w:spacing w:after="0" w:line="177" w:lineRule="exact"/>
              <w:rPr>
                <w:sz w:val="20"/>
                <w:szCs w:val="20"/>
                <w:color w:val="auto"/>
              </w:rPr>
            </w:pPr>
            <w:r>
              <w:rPr>
                <w:rFonts w:ascii="Arial" w:cs="Arial" w:eastAsia="Arial" w:hAnsi="Arial"/>
                <w:sz w:val="18"/>
                <w:szCs w:val="18"/>
                <w:color w:val="auto"/>
              </w:rPr>
              <w:t>*Total consideration paid or payable for</w:t>
            </w:r>
          </w:p>
        </w:tc>
        <w:tc>
          <w:tcPr>
            <w:tcW w:w="3260" w:type="dxa"/>
            <w:vAlign w:val="bottom"/>
            <w:tcBorders>
              <w:right w:val="single" w:sz="8" w:color="auto"/>
            </w:tcBorders>
          </w:tcPr>
          <w:p>
            <w:pPr>
              <w:ind w:left="60"/>
              <w:spacing w:after="0" w:line="177" w:lineRule="exact"/>
              <w:rPr>
                <w:sz w:val="20"/>
                <w:szCs w:val="20"/>
                <w:color w:val="auto"/>
              </w:rPr>
            </w:pPr>
            <w:r>
              <w:rPr>
                <w:rFonts w:ascii="Arial" w:cs="Arial" w:eastAsia="Arial" w:hAnsi="Arial"/>
                <w:sz w:val="18"/>
                <w:szCs w:val="18"/>
                <w:color w:val="auto"/>
              </w:rPr>
              <w:t>US$368,419,264.23</w:t>
            </w:r>
          </w:p>
        </w:tc>
        <w:tc>
          <w:tcPr>
            <w:tcW w:w="3300" w:type="dxa"/>
            <w:vAlign w:val="bottom"/>
            <w:tcBorders>
              <w:right w:val="single" w:sz="8" w:color="auto"/>
            </w:tcBorders>
          </w:tcPr>
          <w:p>
            <w:pPr>
              <w:ind w:left="60"/>
              <w:spacing w:after="0" w:line="177" w:lineRule="exact"/>
              <w:rPr>
                <w:sz w:val="20"/>
                <w:szCs w:val="20"/>
                <w:color w:val="auto"/>
              </w:rPr>
            </w:pPr>
            <w:r>
              <w:rPr>
                <w:rFonts w:ascii="Arial" w:cs="Arial" w:eastAsia="Arial" w:hAnsi="Arial"/>
                <w:sz w:val="18"/>
                <w:szCs w:val="18"/>
                <w:color w:val="auto"/>
              </w:rPr>
              <w:t>US$1,719,394.19</w:t>
            </w:r>
          </w:p>
        </w:tc>
      </w:tr>
      <w:tr>
        <w:trPr>
          <w:trHeight w:val="235"/>
        </w:trPr>
        <w:tc>
          <w:tcPr>
            <w:tcW w:w="1080" w:type="dxa"/>
            <w:vAlign w:val="bottom"/>
            <w:tcBorders>
              <w:left w:val="single" w:sz="8" w:color="auto"/>
              <w:bottom w:val="single" w:sz="8" w:color="auto"/>
            </w:tcBorders>
          </w:tcPr>
          <w:p>
            <w:pPr>
              <w:spacing w:after="0"/>
              <w:rPr>
                <w:sz w:val="20"/>
                <w:szCs w:val="20"/>
                <w:color w:val="auto"/>
              </w:rPr>
            </w:pPr>
          </w:p>
        </w:tc>
        <w:tc>
          <w:tcPr>
            <w:tcW w:w="360" w:type="dxa"/>
            <w:vAlign w:val="bottom"/>
            <w:tcBorders>
              <w:bottom w:val="single" w:sz="8" w:color="auto"/>
              <w:right w:val="single" w:sz="8" w:color="auto"/>
            </w:tcBorders>
          </w:tcPr>
          <w:p>
            <w:pPr>
              <w:spacing w:after="0"/>
              <w:rPr>
                <w:sz w:val="20"/>
                <w:szCs w:val="20"/>
                <w:color w:val="auto"/>
              </w:rPr>
            </w:pPr>
          </w:p>
        </w:tc>
        <w:tc>
          <w:tcPr>
            <w:tcW w:w="32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the +securities</w:t>
            </w:r>
          </w:p>
        </w:tc>
        <w:tc>
          <w:tcPr>
            <w:tcW w:w="3260" w:type="dxa"/>
            <w:vAlign w:val="bottom"/>
            <w:tcBorders>
              <w:bottom w:val="single" w:sz="8" w:color="auto"/>
              <w:right w:val="single" w:sz="8" w:color="auto"/>
            </w:tcBorders>
          </w:tcPr>
          <w:p>
            <w:pPr>
              <w:spacing w:after="0"/>
              <w:rPr>
                <w:sz w:val="20"/>
                <w:szCs w:val="20"/>
                <w:color w:val="auto"/>
              </w:rPr>
            </w:pPr>
          </w:p>
        </w:tc>
        <w:tc>
          <w:tcPr>
            <w:tcW w:w="3300" w:type="dxa"/>
            <w:vAlign w:val="bottom"/>
            <w:tcBorders>
              <w:bottom w:val="single" w:sz="8" w:color="auto"/>
              <w:right w:val="single" w:sz="8" w:color="auto"/>
            </w:tcBorders>
          </w:tcPr>
          <w:p>
            <w:pPr>
              <w:spacing w:after="0"/>
              <w:rPr>
                <w:sz w:val="20"/>
                <w:szCs w:val="20"/>
                <w:color w:val="auto"/>
              </w:rPr>
            </w:pPr>
          </w:p>
        </w:tc>
      </w:tr>
      <w:tr>
        <w:trPr>
          <w:trHeight w:val="281"/>
        </w:trPr>
        <w:tc>
          <w:tcPr>
            <w:tcW w:w="10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4.5</w:t>
            </w:r>
          </w:p>
        </w:tc>
        <w:tc>
          <w:tcPr>
            <w:tcW w:w="360" w:type="dxa"/>
            <w:vAlign w:val="bottom"/>
            <w:tcBorders>
              <w:right w:val="single" w:sz="8" w:color="auto"/>
            </w:tcBorders>
          </w:tcPr>
          <w:p>
            <w:pPr>
              <w:spacing w:after="0"/>
              <w:rPr>
                <w:sz w:val="24"/>
                <w:szCs w:val="24"/>
                <w:color w:val="auto"/>
              </w:rPr>
            </w:pPr>
          </w:p>
        </w:tc>
        <w:tc>
          <w:tcPr>
            <w:tcW w:w="32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*Highest price paid</w:t>
            </w:r>
          </w:p>
        </w:tc>
        <w:tc>
          <w:tcPr>
            <w:tcW w:w="32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US$31.58</w:t>
            </w:r>
          </w:p>
        </w:tc>
        <w:tc>
          <w:tcPr>
            <w:tcW w:w="33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US$29.74</w:t>
            </w:r>
          </w:p>
        </w:tc>
      </w:tr>
      <w:tr>
        <w:trPr>
          <w:trHeight w:val="185"/>
        </w:trPr>
        <w:tc>
          <w:tcPr>
            <w:tcW w:w="1080" w:type="dxa"/>
            <w:vAlign w:val="bottom"/>
            <w:tcBorders>
              <w:left w:val="single" w:sz="8" w:color="auto"/>
            </w:tcBorders>
          </w:tcPr>
          <w:p>
            <w:pPr>
              <w:spacing w:after="0"/>
              <w:rPr>
                <w:sz w:val="16"/>
                <w:szCs w:val="16"/>
                <w:color w:val="auto"/>
              </w:rPr>
            </w:pPr>
          </w:p>
        </w:tc>
        <w:tc>
          <w:tcPr>
            <w:tcW w:w="360" w:type="dxa"/>
            <w:vAlign w:val="bottom"/>
            <w:tcBorders>
              <w:right w:val="single" w:sz="8" w:color="auto"/>
            </w:tcBorders>
          </w:tcPr>
          <w:p>
            <w:pPr>
              <w:spacing w:after="0"/>
              <w:rPr>
                <w:sz w:val="16"/>
                <w:szCs w:val="16"/>
                <w:color w:val="auto"/>
              </w:rPr>
            </w:pPr>
          </w:p>
        </w:tc>
        <w:tc>
          <w:tcPr>
            <w:tcW w:w="326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Answer these questions if your response to</w:t>
            </w:r>
          </w:p>
        </w:tc>
        <w:tc>
          <w:tcPr>
            <w:tcW w:w="3260" w:type="dxa"/>
            <w:vAlign w:val="bottom"/>
            <w:tcBorders>
              <w:right w:val="single" w:sz="8" w:color="auto"/>
            </w:tcBorders>
          </w:tcPr>
          <w:p>
            <w:pPr>
              <w:ind w:left="60"/>
              <w:spacing w:after="0" w:line="185" w:lineRule="exact"/>
              <w:rPr>
                <w:sz w:val="20"/>
                <w:szCs w:val="20"/>
                <w:color w:val="auto"/>
              </w:rPr>
            </w:pPr>
            <w:r>
              <w:rPr>
                <w:rFonts w:ascii="Arial" w:cs="Arial" w:eastAsia="Arial" w:hAnsi="Arial"/>
                <w:sz w:val="18"/>
                <w:szCs w:val="18"/>
                <w:color w:val="auto"/>
              </w:rPr>
              <w:t>*Date highest price was paid:</w:t>
            </w:r>
          </w:p>
        </w:tc>
        <w:tc>
          <w:tcPr>
            <w:tcW w:w="3300" w:type="dxa"/>
            <w:vAlign w:val="bottom"/>
            <w:tcBorders>
              <w:right w:val="single" w:sz="8" w:color="auto"/>
            </w:tcBorders>
          </w:tcPr>
          <w:p>
            <w:pPr>
              <w:spacing w:after="0"/>
              <w:rPr>
                <w:sz w:val="16"/>
                <w:szCs w:val="16"/>
                <w:color w:val="auto"/>
              </w:rPr>
            </w:pPr>
          </w:p>
        </w:tc>
      </w:tr>
      <w:tr>
        <w:trPr>
          <w:trHeight w:val="239"/>
        </w:trPr>
        <w:tc>
          <w:tcPr>
            <w:tcW w:w="1080" w:type="dxa"/>
            <w:vAlign w:val="bottom"/>
            <w:tcBorders>
              <w:left w:val="single" w:sz="8" w:color="auto"/>
            </w:tcBorders>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c>
          <w:tcPr>
            <w:tcW w:w="326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Q 2.1 is “On-market buy-back”.</w:t>
            </w:r>
          </w:p>
        </w:tc>
        <w:tc>
          <w:tcPr>
            <w:tcW w:w="32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27/08/2026</w:t>
            </w:r>
          </w:p>
        </w:tc>
        <w:tc>
          <w:tcPr>
            <w:tcW w:w="3300" w:type="dxa"/>
            <w:vAlign w:val="bottom"/>
            <w:tcBorders>
              <w:right w:val="single" w:sz="8" w:color="auto"/>
            </w:tcBorders>
          </w:tcPr>
          <w:p>
            <w:pPr>
              <w:spacing w:after="0"/>
              <w:rPr>
                <w:sz w:val="20"/>
                <w:szCs w:val="20"/>
                <w:color w:val="auto"/>
              </w:rPr>
            </w:pPr>
          </w:p>
        </w:tc>
      </w:tr>
      <w:tr>
        <w:trPr>
          <w:trHeight w:val="45"/>
        </w:trPr>
        <w:tc>
          <w:tcPr>
            <w:tcW w:w="1080" w:type="dxa"/>
            <w:vAlign w:val="bottom"/>
            <w:tcBorders>
              <w:left w:val="single" w:sz="8" w:color="auto"/>
              <w:bottom w:val="single" w:sz="8" w:color="auto"/>
            </w:tcBorders>
          </w:tcPr>
          <w:p>
            <w:pPr>
              <w:spacing w:after="0"/>
              <w:rPr>
                <w:sz w:val="3"/>
                <w:szCs w:val="3"/>
                <w:color w:val="auto"/>
              </w:rPr>
            </w:pPr>
          </w:p>
        </w:tc>
        <w:tc>
          <w:tcPr>
            <w:tcW w:w="360" w:type="dxa"/>
            <w:vAlign w:val="bottom"/>
            <w:tcBorders>
              <w:bottom w:val="single" w:sz="8" w:color="auto"/>
              <w:right w:val="single" w:sz="8" w:color="auto"/>
            </w:tcBorders>
          </w:tcPr>
          <w:p>
            <w:pPr>
              <w:spacing w:after="0"/>
              <w:rPr>
                <w:sz w:val="3"/>
                <w:szCs w:val="3"/>
                <w:color w:val="auto"/>
              </w:rPr>
            </w:pPr>
          </w:p>
        </w:tc>
        <w:tc>
          <w:tcPr>
            <w:tcW w:w="3260" w:type="dxa"/>
            <w:vAlign w:val="bottom"/>
            <w:tcBorders>
              <w:bottom w:val="single" w:sz="8" w:color="auto"/>
              <w:right w:val="single" w:sz="8" w:color="auto"/>
            </w:tcBorders>
          </w:tcPr>
          <w:p>
            <w:pPr>
              <w:spacing w:after="0"/>
              <w:rPr>
                <w:sz w:val="3"/>
                <w:szCs w:val="3"/>
                <w:color w:val="auto"/>
              </w:rPr>
            </w:pPr>
          </w:p>
        </w:tc>
        <w:tc>
          <w:tcPr>
            <w:tcW w:w="3260" w:type="dxa"/>
            <w:vAlign w:val="bottom"/>
            <w:tcBorders>
              <w:bottom w:val="single" w:sz="8" w:color="auto"/>
              <w:right w:val="single" w:sz="8" w:color="auto"/>
            </w:tcBorders>
          </w:tcPr>
          <w:p>
            <w:pPr>
              <w:spacing w:after="0"/>
              <w:rPr>
                <w:sz w:val="3"/>
                <w:szCs w:val="3"/>
                <w:color w:val="auto"/>
              </w:rPr>
            </w:pPr>
          </w:p>
        </w:tc>
        <w:tc>
          <w:tcPr>
            <w:tcW w:w="3300" w:type="dxa"/>
            <w:vAlign w:val="bottom"/>
            <w:tcBorders>
              <w:bottom w:val="single" w:sz="8" w:color="auto"/>
              <w:right w:val="single" w:sz="8" w:color="auto"/>
            </w:tcBorders>
          </w:tcPr>
          <w:p>
            <w:pPr>
              <w:spacing w:after="0"/>
              <w:rPr>
                <w:sz w:val="3"/>
                <w:szCs w:val="3"/>
                <w:color w:val="auto"/>
              </w:rPr>
            </w:pPr>
          </w:p>
        </w:tc>
      </w:tr>
      <w:tr>
        <w:trPr>
          <w:trHeight w:val="281"/>
        </w:trPr>
        <w:tc>
          <w:tcPr>
            <w:tcW w:w="10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4.6</w:t>
            </w:r>
          </w:p>
        </w:tc>
        <w:tc>
          <w:tcPr>
            <w:tcW w:w="360" w:type="dxa"/>
            <w:vAlign w:val="bottom"/>
            <w:tcBorders>
              <w:right w:val="single" w:sz="8" w:color="auto"/>
            </w:tcBorders>
          </w:tcPr>
          <w:p>
            <w:pPr>
              <w:spacing w:after="0"/>
              <w:rPr>
                <w:sz w:val="24"/>
                <w:szCs w:val="24"/>
                <w:color w:val="auto"/>
              </w:rPr>
            </w:pPr>
          </w:p>
        </w:tc>
        <w:tc>
          <w:tcPr>
            <w:tcW w:w="32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*Lowest price paid</w:t>
            </w:r>
          </w:p>
        </w:tc>
        <w:tc>
          <w:tcPr>
            <w:tcW w:w="32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US$22.20</w:t>
            </w:r>
          </w:p>
        </w:tc>
        <w:tc>
          <w:tcPr>
            <w:tcW w:w="33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US$29.11</w:t>
            </w:r>
          </w:p>
        </w:tc>
      </w:tr>
      <w:tr>
        <w:trPr>
          <w:trHeight w:val="185"/>
        </w:trPr>
        <w:tc>
          <w:tcPr>
            <w:tcW w:w="1080" w:type="dxa"/>
            <w:vAlign w:val="bottom"/>
            <w:tcBorders>
              <w:left w:val="single" w:sz="8" w:color="auto"/>
            </w:tcBorders>
          </w:tcPr>
          <w:p>
            <w:pPr>
              <w:spacing w:after="0"/>
              <w:rPr>
                <w:sz w:val="16"/>
                <w:szCs w:val="16"/>
                <w:color w:val="auto"/>
              </w:rPr>
            </w:pPr>
          </w:p>
        </w:tc>
        <w:tc>
          <w:tcPr>
            <w:tcW w:w="360" w:type="dxa"/>
            <w:vAlign w:val="bottom"/>
            <w:tcBorders>
              <w:right w:val="single" w:sz="8" w:color="auto"/>
            </w:tcBorders>
          </w:tcPr>
          <w:p>
            <w:pPr>
              <w:spacing w:after="0"/>
              <w:rPr>
                <w:sz w:val="16"/>
                <w:szCs w:val="16"/>
                <w:color w:val="auto"/>
              </w:rPr>
            </w:pPr>
          </w:p>
        </w:tc>
        <w:tc>
          <w:tcPr>
            <w:tcW w:w="326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Answer these questions if your response to</w:t>
            </w:r>
          </w:p>
        </w:tc>
        <w:tc>
          <w:tcPr>
            <w:tcW w:w="3260" w:type="dxa"/>
            <w:vAlign w:val="bottom"/>
            <w:tcBorders>
              <w:right w:val="single" w:sz="8" w:color="auto"/>
            </w:tcBorders>
          </w:tcPr>
          <w:p>
            <w:pPr>
              <w:ind w:left="60"/>
              <w:spacing w:after="0" w:line="185" w:lineRule="exact"/>
              <w:rPr>
                <w:sz w:val="20"/>
                <w:szCs w:val="20"/>
                <w:color w:val="auto"/>
              </w:rPr>
            </w:pPr>
            <w:r>
              <w:rPr>
                <w:rFonts w:ascii="Arial" w:cs="Arial" w:eastAsia="Arial" w:hAnsi="Arial"/>
                <w:sz w:val="18"/>
                <w:szCs w:val="18"/>
                <w:color w:val="auto"/>
              </w:rPr>
              <w:t>*Date lowest price was paid:</w:t>
            </w:r>
          </w:p>
        </w:tc>
        <w:tc>
          <w:tcPr>
            <w:tcW w:w="3300" w:type="dxa"/>
            <w:vAlign w:val="bottom"/>
            <w:tcBorders>
              <w:right w:val="single" w:sz="8" w:color="auto"/>
            </w:tcBorders>
          </w:tcPr>
          <w:p>
            <w:pPr>
              <w:spacing w:after="0"/>
              <w:rPr>
                <w:sz w:val="16"/>
                <w:szCs w:val="16"/>
                <w:color w:val="auto"/>
              </w:rPr>
            </w:pPr>
          </w:p>
        </w:tc>
      </w:tr>
      <w:tr>
        <w:trPr>
          <w:trHeight w:val="239"/>
        </w:trPr>
        <w:tc>
          <w:tcPr>
            <w:tcW w:w="1080" w:type="dxa"/>
            <w:vAlign w:val="bottom"/>
            <w:tcBorders>
              <w:left w:val="single" w:sz="8" w:color="auto"/>
            </w:tcBorders>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c>
          <w:tcPr>
            <w:tcW w:w="326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Q 2.1 is “On-market buy-back”.</w:t>
            </w:r>
          </w:p>
        </w:tc>
        <w:tc>
          <w:tcPr>
            <w:tcW w:w="32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09/02/2026</w:t>
            </w:r>
          </w:p>
        </w:tc>
        <w:tc>
          <w:tcPr>
            <w:tcW w:w="3300" w:type="dxa"/>
            <w:vAlign w:val="bottom"/>
            <w:tcBorders>
              <w:right w:val="single" w:sz="8" w:color="auto"/>
            </w:tcBorders>
          </w:tcPr>
          <w:p>
            <w:pPr>
              <w:spacing w:after="0"/>
              <w:rPr>
                <w:sz w:val="20"/>
                <w:szCs w:val="20"/>
                <w:color w:val="auto"/>
              </w:rPr>
            </w:pPr>
          </w:p>
        </w:tc>
      </w:tr>
      <w:tr>
        <w:trPr>
          <w:trHeight w:val="45"/>
        </w:trPr>
        <w:tc>
          <w:tcPr>
            <w:tcW w:w="1080" w:type="dxa"/>
            <w:vAlign w:val="bottom"/>
            <w:tcBorders>
              <w:left w:val="single" w:sz="8" w:color="auto"/>
              <w:bottom w:val="single" w:sz="8" w:color="auto"/>
            </w:tcBorders>
          </w:tcPr>
          <w:p>
            <w:pPr>
              <w:spacing w:after="0"/>
              <w:rPr>
                <w:sz w:val="3"/>
                <w:szCs w:val="3"/>
                <w:color w:val="auto"/>
              </w:rPr>
            </w:pPr>
          </w:p>
        </w:tc>
        <w:tc>
          <w:tcPr>
            <w:tcW w:w="360" w:type="dxa"/>
            <w:vAlign w:val="bottom"/>
            <w:tcBorders>
              <w:bottom w:val="single" w:sz="8" w:color="auto"/>
              <w:right w:val="single" w:sz="8" w:color="auto"/>
            </w:tcBorders>
          </w:tcPr>
          <w:p>
            <w:pPr>
              <w:spacing w:after="0"/>
              <w:rPr>
                <w:sz w:val="3"/>
                <w:szCs w:val="3"/>
                <w:color w:val="auto"/>
              </w:rPr>
            </w:pPr>
          </w:p>
        </w:tc>
        <w:tc>
          <w:tcPr>
            <w:tcW w:w="3260" w:type="dxa"/>
            <w:vAlign w:val="bottom"/>
            <w:tcBorders>
              <w:bottom w:val="single" w:sz="8" w:color="auto"/>
              <w:right w:val="single" w:sz="8" w:color="auto"/>
            </w:tcBorders>
          </w:tcPr>
          <w:p>
            <w:pPr>
              <w:spacing w:after="0"/>
              <w:rPr>
                <w:sz w:val="3"/>
                <w:szCs w:val="3"/>
                <w:color w:val="auto"/>
              </w:rPr>
            </w:pPr>
          </w:p>
        </w:tc>
        <w:tc>
          <w:tcPr>
            <w:tcW w:w="3260" w:type="dxa"/>
            <w:vAlign w:val="bottom"/>
            <w:tcBorders>
              <w:bottom w:val="single" w:sz="8" w:color="auto"/>
              <w:right w:val="single" w:sz="8" w:color="auto"/>
            </w:tcBorders>
          </w:tcPr>
          <w:p>
            <w:pPr>
              <w:spacing w:after="0"/>
              <w:rPr>
                <w:sz w:val="3"/>
                <w:szCs w:val="3"/>
                <w:color w:val="auto"/>
              </w:rPr>
            </w:pPr>
          </w:p>
        </w:tc>
        <w:tc>
          <w:tcPr>
            <w:tcW w:w="3300" w:type="dxa"/>
            <w:vAlign w:val="bottom"/>
            <w:tcBorders>
              <w:bottom w:val="single" w:sz="8" w:color="auto"/>
              <w:right w:val="single" w:sz="8" w:color="auto"/>
            </w:tcBorders>
          </w:tcPr>
          <w:p>
            <w:pPr>
              <w:spacing w:after="0"/>
              <w:rPr>
                <w:sz w:val="3"/>
                <w:szCs w:val="3"/>
                <w:color w:val="auto"/>
              </w:rPr>
            </w:pPr>
          </w:p>
        </w:tc>
      </w:tr>
      <w:tr>
        <w:trPr>
          <w:trHeight w:val="231"/>
        </w:trPr>
        <w:tc>
          <w:tcPr>
            <w:tcW w:w="10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4.8</w:t>
            </w:r>
          </w:p>
        </w:tc>
        <w:tc>
          <w:tcPr>
            <w:tcW w:w="360" w:type="dxa"/>
            <w:vAlign w:val="bottom"/>
            <w:tcBorders>
              <w:right w:val="single" w:sz="8" w:color="auto"/>
            </w:tcBorders>
          </w:tcPr>
          <w:p>
            <w:pPr>
              <w:spacing w:after="0"/>
              <w:rPr>
                <w:sz w:val="20"/>
                <w:szCs w:val="20"/>
                <w:color w:val="auto"/>
              </w:rPr>
            </w:pPr>
          </w:p>
        </w:tc>
        <w:tc>
          <w:tcPr>
            <w:tcW w:w="652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*If the entity has disclosed an intention to buy back a maximum number of</w:t>
            </w:r>
          </w:p>
        </w:tc>
        <w:tc>
          <w:tcPr>
            <w:tcW w:w="33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The company is authorized to acquire</w:t>
            </w:r>
          </w:p>
        </w:tc>
      </w:tr>
      <w:tr>
        <w:trPr>
          <w:trHeight w:val="181"/>
        </w:trPr>
        <w:tc>
          <w:tcPr>
            <w:tcW w:w="1080" w:type="dxa"/>
            <w:vAlign w:val="bottom"/>
            <w:tcBorders>
              <w:left w:val="single" w:sz="8" w:color="auto"/>
            </w:tcBorders>
          </w:tcPr>
          <w:p>
            <w:pPr>
              <w:spacing w:after="0"/>
              <w:rPr>
                <w:sz w:val="15"/>
                <w:szCs w:val="15"/>
                <w:color w:val="auto"/>
              </w:rPr>
            </w:pPr>
          </w:p>
        </w:tc>
        <w:tc>
          <w:tcPr>
            <w:tcW w:w="360" w:type="dxa"/>
            <w:vAlign w:val="bottom"/>
            <w:tcBorders>
              <w:right w:val="single" w:sz="8" w:color="auto"/>
            </w:tcBorders>
          </w:tcPr>
          <w:p>
            <w:pPr>
              <w:spacing w:after="0"/>
              <w:rPr>
                <w:sz w:val="15"/>
                <w:szCs w:val="15"/>
                <w:color w:val="auto"/>
              </w:rPr>
            </w:pPr>
          </w:p>
        </w:tc>
        <w:tc>
          <w:tcPr>
            <w:tcW w:w="6520" w:type="dxa"/>
            <w:vAlign w:val="bottom"/>
            <w:tcBorders>
              <w:right w:val="single" w:sz="8" w:color="auto"/>
            </w:tcBorders>
            <w:gridSpan w:val="2"/>
          </w:tcPr>
          <w:p>
            <w:pPr>
              <w:ind w:left="60"/>
              <w:spacing w:after="0" w:line="181" w:lineRule="exact"/>
              <w:rPr>
                <w:sz w:val="20"/>
                <w:szCs w:val="20"/>
                <w:color w:val="auto"/>
              </w:rPr>
            </w:pPr>
            <w:r>
              <w:rPr>
                <w:rFonts w:ascii="Arial" w:cs="Arial" w:eastAsia="Arial" w:hAnsi="Arial"/>
                <w:sz w:val="18"/>
                <w:szCs w:val="18"/>
                <w:color w:val="auto"/>
              </w:rPr>
              <w:t>+securities, the remaining number of +securities to be bought back as at the</w:t>
            </w:r>
          </w:p>
        </w:tc>
        <w:tc>
          <w:tcPr>
            <w:tcW w:w="3300" w:type="dxa"/>
            <w:vAlign w:val="bottom"/>
            <w:tcBorders>
              <w:right w:val="single" w:sz="8" w:color="auto"/>
            </w:tcBorders>
          </w:tcPr>
          <w:p>
            <w:pPr>
              <w:ind w:left="60"/>
              <w:spacing w:after="0" w:line="181" w:lineRule="exact"/>
              <w:rPr>
                <w:sz w:val="20"/>
                <w:szCs w:val="20"/>
                <w:color w:val="auto"/>
              </w:rPr>
            </w:pPr>
            <w:r>
              <w:rPr>
                <w:rFonts w:ascii="Arial" w:cs="Arial" w:eastAsia="Arial" w:hAnsi="Arial"/>
                <w:sz w:val="18"/>
                <w:szCs w:val="18"/>
                <w:color w:val="auto"/>
              </w:rPr>
              <w:t>up to an aggregate of US$1 billion of</w:t>
            </w:r>
          </w:p>
        </w:tc>
      </w:tr>
      <w:tr>
        <w:trPr>
          <w:trHeight w:val="175"/>
        </w:trPr>
        <w:tc>
          <w:tcPr>
            <w:tcW w:w="1080" w:type="dxa"/>
            <w:vAlign w:val="bottom"/>
            <w:tcBorders>
              <w:left w:val="single" w:sz="8" w:color="auto"/>
            </w:tcBorders>
          </w:tcPr>
          <w:p>
            <w:pPr>
              <w:spacing w:after="0"/>
              <w:rPr>
                <w:sz w:val="15"/>
                <w:szCs w:val="15"/>
                <w:color w:val="auto"/>
              </w:rPr>
            </w:pPr>
          </w:p>
        </w:tc>
        <w:tc>
          <w:tcPr>
            <w:tcW w:w="360" w:type="dxa"/>
            <w:vAlign w:val="bottom"/>
            <w:tcBorders>
              <w:right w:val="single" w:sz="8" w:color="auto"/>
            </w:tcBorders>
          </w:tcPr>
          <w:p>
            <w:pPr>
              <w:spacing w:after="0"/>
              <w:rPr>
                <w:sz w:val="15"/>
                <w:szCs w:val="15"/>
                <w:color w:val="auto"/>
              </w:rPr>
            </w:pPr>
          </w:p>
        </w:tc>
        <w:tc>
          <w:tcPr>
            <w:tcW w:w="3260" w:type="dxa"/>
            <w:vAlign w:val="bottom"/>
          </w:tcPr>
          <w:p>
            <w:pPr>
              <w:ind w:left="60"/>
              <w:spacing w:after="0" w:line="176" w:lineRule="exact"/>
              <w:rPr>
                <w:sz w:val="20"/>
                <w:szCs w:val="20"/>
                <w:color w:val="auto"/>
              </w:rPr>
            </w:pPr>
            <w:r>
              <w:rPr>
                <w:rFonts w:ascii="Arial" w:cs="Arial" w:eastAsia="Arial" w:hAnsi="Arial"/>
                <w:sz w:val="18"/>
                <w:szCs w:val="18"/>
                <w:color w:val="auto"/>
              </w:rPr>
              <w:t>end of the previous day</w:t>
            </w:r>
          </w:p>
        </w:tc>
        <w:tc>
          <w:tcPr>
            <w:tcW w:w="3260" w:type="dxa"/>
            <w:vAlign w:val="bottom"/>
            <w:tcBorders>
              <w:right w:val="single" w:sz="8" w:color="auto"/>
            </w:tcBorders>
          </w:tcPr>
          <w:p>
            <w:pPr>
              <w:spacing w:after="0"/>
              <w:rPr>
                <w:sz w:val="15"/>
                <w:szCs w:val="15"/>
                <w:color w:val="auto"/>
              </w:rPr>
            </w:pPr>
          </w:p>
        </w:tc>
        <w:tc>
          <w:tcPr>
            <w:tcW w:w="3300" w:type="dxa"/>
            <w:vAlign w:val="bottom"/>
            <w:tcBorders>
              <w:right w:val="single" w:sz="8" w:color="auto"/>
            </w:tcBorders>
          </w:tcPr>
          <w:p>
            <w:pPr>
              <w:ind w:left="60"/>
              <w:spacing w:after="0" w:line="176" w:lineRule="exact"/>
              <w:rPr>
                <w:sz w:val="20"/>
                <w:szCs w:val="20"/>
                <w:color w:val="auto"/>
              </w:rPr>
            </w:pPr>
            <w:r>
              <w:rPr>
                <w:rFonts w:ascii="Arial" w:cs="Arial" w:eastAsia="Arial" w:hAnsi="Arial"/>
                <w:sz w:val="18"/>
                <w:szCs w:val="18"/>
                <w:color w:val="auto"/>
              </w:rPr>
              <w:t>the Company’s Nasdaq-listed Class A</w:t>
            </w:r>
          </w:p>
        </w:tc>
      </w:tr>
      <w:tr>
        <w:trPr>
          <w:trHeight w:val="203"/>
        </w:trPr>
        <w:tc>
          <w:tcPr>
            <w:tcW w:w="1080" w:type="dxa"/>
            <w:vAlign w:val="bottom"/>
            <w:tcBorders>
              <w:left w:val="single" w:sz="8" w:color="auto"/>
            </w:tcBorders>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6520" w:type="dxa"/>
            <w:vAlign w:val="bottom"/>
            <w:tcBorders>
              <w:right w:val="single" w:sz="8" w:color="auto"/>
            </w:tcBorders>
            <w:gridSpan w:val="2"/>
          </w:tcPr>
          <w:p>
            <w:pPr>
              <w:ind w:left="60"/>
              <w:spacing w:after="0"/>
              <w:rPr>
                <w:sz w:val="20"/>
                <w:szCs w:val="20"/>
                <w:color w:val="auto"/>
              </w:rPr>
            </w:pPr>
            <w:r>
              <w:rPr>
                <w:rFonts w:ascii="Arial" w:cs="Arial" w:eastAsia="Arial" w:hAnsi="Arial"/>
                <w:sz w:val="14"/>
                <w:szCs w:val="14"/>
                <w:i w:val="1"/>
                <w:iCs w:val="1"/>
                <w:color w:val="auto"/>
              </w:rPr>
              <w:t>Note: ASX has calculated this number for you based on previous notifications. If it is not correct,</w:t>
            </w:r>
          </w:p>
        </w:tc>
        <w:tc>
          <w:tcPr>
            <w:tcW w:w="330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common stock and Class B common</w:t>
            </w:r>
          </w:p>
        </w:tc>
      </w:tr>
      <w:tr>
        <w:trPr>
          <w:trHeight w:val="162"/>
        </w:trPr>
        <w:tc>
          <w:tcPr>
            <w:tcW w:w="1080" w:type="dxa"/>
            <w:vAlign w:val="bottom"/>
            <w:tcBorders>
              <w:left w:val="single" w:sz="8" w:color="auto"/>
            </w:tcBorders>
          </w:tcPr>
          <w:p>
            <w:pPr>
              <w:spacing w:after="0"/>
              <w:rPr>
                <w:sz w:val="14"/>
                <w:szCs w:val="14"/>
                <w:color w:val="auto"/>
              </w:rPr>
            </w:pPr>
          </w:p>
        </w:tc>
        <w:tc>
          <w:tcPr>
            <w:tcW w:w="360" w:type="dxa"/>
            <w:vAlign w:val="bottom"/>
            <w:tcBorders>
              <w:right w:val="single" w:sz="8" w:color="auto"/>
            </w:tcBorders>
          </w:tcPr>
          <w:p>
            <w:pPr>
              <w:spacing w:after="0"/>
              <w:rPr>
                <w:sz w:val="14"/>
                <w:szCs w:val="14"/>
                <w:color w:val="auto"/>
              </w:rPr>
            </w:pPr>
          </w:p>
        </w:tc>
        <w:tc>
          <w:tcPr>
            <w:tcW w:w="6520" w:type="dxa"/>
            <w:vAlign w:val="bottom"/>
            <w:tcBorders>
              <w:right w:val="single" w:sz="8" w:color="auto"/>
            </w:tcBorders>
            <w:gridSpan w:val="2"/>
          </w:tcPr>
          <w:p>
            <w:pPr>
              <w:ind w:left="60"/>
              <w:spacing w:after="0"/>
              <w:rPr>
                <w:sz w:val="20"/>
                <w:szCs w:val="20"/>
                <w:color w:val="auto"/>
              </w:rPr>
            </w:pPr>
            <w:r>
              <w:rPr>
                <w:rFonts w:ascii="Arial" w:cs="Arial" w:eastAsia="Arial" w:hAnsi="Arial"/>
                <w:sz w:val="14"/>
                <w:szCs w:val="14"/>
                <w:i w:val="1"/>
                <w:iCs w:val="1"/>
                <w:color w:val="auto"/>
              </w:rPr>
              <w:t>please amend it to the correct number and consider whether any updates need to be made to</w:t>
            </w:r>
          </w:p>
        </w:tc>
        <w:tc>
          <w:tcPr>
            <w:tcW w:w="3300" w:type="dxa"/>
            <w:vAlign w:val="bottom"/>
            <w:tcBorders>
              <w:right w:val="single" w:sz="8" w:color="auto"/>
            </w:tcBorders>
          </w:tcPr>
          <w:p>
            <w:pPr>
              <w:ind w:left="60"/>
              <w:spacing w:after="0" w:line="162" w:lineRule="exact"/>
              <w:rPr>
                <w:sz w:val="20"/>
                <w:szCs w:val="20"/>
                <w:color w:val="auto"/>
              </w:rPr>
            </w:pPr>
            <w:r>
              <w:rPr>
                <w:rFonts w:ascii="Arial" w:cs="Arial" w:eastAsia="Arial" w:hAnsi="Arial"/>
                <w:sz w:val="18"/>
                <w:szCs w:val="18"/>
                <w:color w:val="auto"/>
              </w:rPr>
              <w:t>stock under the 2025 Repurchase</w:t>
            </w:r>
          </w:p>
        </w:tc>
      </w:tr>
      <w:tr>
        <w:trPr>
          <w:trHeight w:val="175"/>
        </w:trPr>
        <w:tc>
          <w:tcPr>
            <w:tcW w:w="1080" w:type="dxa"/>
            <w:vAlign w:val="bottom"/>
            <w:tcBorders>
              <w:left w:val="single" w:sz="8" w:color="auto"/>
            </w:tcBorders>
          </w:tcPr>
          <w:p>
            <w:pPr>
              <w:spacing w:after="0"/>
              <w:rPr>
                <w:sz w:val="15"/>
                <w:szCs w:val="15"/>
                <w:color w:val="auto"/>
              </w:rPr>
            </w:pPr>
          </w:p>
        </w:tc>
        <w:tc>
          <w:tcPr>
            <w:tcW w:w="360" w:type="dxa"/>
            <w:vAlign w:val="bottom"/>
            <w:tcBorders>
              <w:right w:val="single" w:sz="8" w:color="auto"/>
            </w:tcBorders>
          </w:tcPr>
          <w:p>
            <w:pPr>
              <w:spacing w:after="0"/>
              <w:rPr>
                <w:sz w:val="15"/>
                <w:szCs w:val="15"/>
                <w:color w:val="auto"/>
              </w:rPr>
            </w:pPr>
          </w:p>
        </w:tc>
        <w:tc>
          <w:tcPr>
            <w:tcW w:w="3260" w:type="dxa"/>
            <w:vAlign w:val="bottom"/>
          </w:tcPr>
          <w:p>
            <w:pPr>
              <w:ind w:left="60"/>
              <w:spacing w:after="0"/>
              <w:rPr>
                <w:sz w:val="20"/>
                <w:szCs w:val="20"/>
                <w:color w:val="auto"/>
              </w:rPr>
            </w:pPr>
            <w:r>
              <w:rPr>
                <w:rFonts w:ascii="Arial" w:cs="Arial" w:eastAsia="Arial" w:hAnsi="Arial"/>
                <w:sz w:val="14"/>
                <w:szCs w:val="14"/>
                <w:i w:val="1"/>
                <w:iCs w:val="1"/>
                <w:color w:val="auto"/>
              </w:rPr>
              <w:t>previous notifications.</w:t>
            </w:r>
          </w:p>
        </w:tc>
        <w:tc>
          <w:tcPr>
            <w:tcW w:w="3260" w:type="dxa"/>
            <w:vAlign w:val="bottom"/>
            <w:tcBorders>
              <w:right w:val="single" w:sz="8" w:color="auto"/>
            </w:tcBorders>
          </w:tcPr>
          <w:p>
            <w:pPr>
              <w:spacing w:after="0"/>
              <w:rPr>
                <w:sz w:val="15"/>
                <w:szCs w:val="15"/>
                <w:color w:val="auto"/>
              </w:rPr>
            </w:pPr>
          </w:p>
        </w:tc>
        <w:tc>
          <w:tcPr>
            <w:tcW w:w="3300" w:type="dxa"/>
            <w:vAlign w:val="bottom"/>
            <w:tcBorders>
              <w:right w:val="single" w:sz="8" w:color="auto"/>
            </w:tcBorders>
          </w:tcPr>
          <w:p>
            <w:pPr>
              <w:ind w:left="60"/>
              <w:spacing w:after="0" w:line="176" w:lineRule="exact"/>
              <w:rPr>
                <w:sz w:val="20"/>
                <w:szCs w:val="20"/>
                <w:color w:val="auto"/>
              </w:rPr>
            </w:pPr>
            <w:r>
              <w:rPr>
                <w:rFonts w:ascii="Arial" w:cs="Arial" w:eastAsia="Arial" w:hAnsi="Arial"/>
                <w:sz w:val="18"/>
                <w:szCs w:val="18"/>
                <w:color w:val="auto"/>
              </w:rPr>
              <w:t>Program. To date, the company has</w:t>
            </w:r>
          </w:p>
        </w:tc>
      </w:tr>
      <w:tr>
        <w:trPr>
          <w:trHeight w:val="184"/>
        </w:trPr>
        <w:tc>
          <w:tcPr>
            <w:tcW w:w="1080" w:type="dxa"/>
            <w:vAlign w:val="bottom"/>
            <w:tcBorders>
              <w:left w:val="single" w:sz="8" w:color="auto"/>
            </w:tcBorders>
          </w:tcPr>
          <w:p>
            <w:pPr>
              <w:spacing w:after="0"/>
              <w:rPr>
                <w:sz w:val="15"/>
                <w:szCs w:val="15"/>
                <w:color w:val="auto"/>
              </w:rPr>
            </w:pPr>
          </w:p>
        </w:tc>
        <w:tc>
          <w:tcPr>
            <w:tcW w:w="360" w:type="dxa"/>
            <w:vAlign w:val="bottom"/>
            <w:tcBorders>
              <w:right w:val="single" w:sz="8" w:color="auto"/>
            </w:tcBorders>
          </w:tcPr>
          <w:p>
            <w:pPr>
              <w:spacing w:after="0"/>
              <w:rPr>
                <w:sz w:val="15"/>
                <w:szCs w:val="15"/>
                <w:color w:val="auto"/>
              </w:rPr>
            </w:pPr>
          </w:p>
        </w:tc>
        <w:tc>
          <w:tcPr>
            <w:tcW w:w="3260" w:type="dxa"/>
            <w:vAlign w:val="bottom"/>
          </w:tcPr>
          <w:p>
            <w:pPr>
              <w:spacing w:after="0"/>
              <w:rPr>
                <w:sz w:val="15"/>
                <w:szCs w:val="15"/>
                <w:color w:val="auto"/>
              </w:rPr>
            </w:pPr>
          </w:p>
        </w:tc>
        <w:tc>
          <w:tcPr>
            <w:tcW w:w="3260" w:type="dxa"/>
            <w:vAlign w:val="bottom"/>
            <w:tcBorders>
              <w:right w:val="single" w:sz="8" w:color="auto"/>
            </w:tcBorders>
          </w:tcPr>
          <w:p>
            <w:pPr>
              <w:spacing w:after="0"/>
              <w:rPr>
                <w:sz w:val="15"/>
                <w:szCs w:val="15"/>
                <w:color w:val="auto"/>
              </w:rPr>
            </w:pPr>
          </w:p>
        </w:tc>
        <w:tc>
          <w:tcPr>
            <w:tcW w:w="3300" w:type="dxa"/>
            <w:vAlign w:val="bottom"/>
            <w:tcBorders>
              <w:right w:val="single" w:sz="8" w:color="auto"/>
            </w:tcBorders>
          </w:tcPr>
          <w:p>
            <w:pPr>
              <w:ind w:left="60"/>
              <w:spacing w:after="0" w:line="183" w:lineRule="exact"/>
              <w:rPr>
                <w:sz w:val="20"/>
                <w:szCs w:val="20"/>
                <w:color w:val="auto"/>
              </w:rPr>
            </w:pPr>
            <w:r>
              <w:rPr>
                <w:rFonts w:ascii="Arial" w:cs="Arial" w:eastAsia="Arial" w:hAnsi="Arial"/>
                <w:sz w:val="18"/>
                <w:szCs w:val="18"/>
                <w:color w:val="auto"/>
              </w:rPr>
              <w:t>purchased approximately</w:t>
            </w:r>
          </w:p>
        </w:tc>
      </w:tr>
      <w:tr>
        <w:trPr>
          <w:trHeight w:val="181"/>
        </w:trPr>
        <w:tc>
          <w:tcPr>
            <w:tcW w:w="1080" w:type="dxa"/>
            <w:vAlign w:val="bottom"/>
            <w:tcBorders>
              <w:left w:val="single" w:sz="8" w:color="auto"/>
            </w:tcBorders>
          </w:tcPr>
          <w:p>
            <w:pPr>
              <w:spacing w:after="0"/>
              <w:rPr>
                <w:sz w:val="15"/>
                <w:szCs w:val="15"/>
                <w:color w:val="auto"/>
              </w:rPr>
            </w:pPr>
          </w:p>
        </w:tc>
        <w:tc>
          <w:tcPr>
            <w:tcW w:w="360" w:type="dxa"/>
            <w:vAlign w:val="bottom"/>
            <w:tcBorders>
              <w:right w:val="single" w:sz="8" w:color="auto"/>
            </w:tcBorders>
          </w:tcPr>
          <w:p>
            <w:pPr>
              <w:spacing w:after="0"/>
              <w:rPr>
                <w:sz w:val="15"/>
                <w:szCs w:val="15"/>
                <w:color w:val="auto"/>
              </w:rPr>
            </w:pPr>
          </w:p>
        </w:tc>
        <w:tc>
          <w:tcPr>
            <w:tcW w:w="3260" w:type="dxa"/>
            <w:vAlign w:val="bottom"/>
          </w:tcPr>
          <w:p>
            <w:pPr>
              <w:spacing w:after="0"/>
              <w:rPr>
                <w:sz w:val="15"/>
                <w:szCs w:val="15"/>
                <w:color w:val="auto"/>
              </w:rPr>
            </w:pPr>
          </w:p>
        </w:tc>
        <w:tc>
          <w:tcPr>
            <w:tcW w:w="3260" w:type="dxa"/>
            <w:vAlign w:val="bottom"/>
            <w:tcBorders>
              <w:right w:val="single" w:sz="8" w:color="auto"/>
            </w:tcBorders>
          </w:tcPr>
          <w:p>
            <w:pPr>
              <w:spacing w:after="0"/>
              <w:rPr>
                <w:sz w:val="15"/>
                <w:szCs w:val="15"/>
                <w:color w:val="auto"/>
              </w:rPr>
            </w:pPr>
          </w:p>
        </w:tc>
        <w:tc>
          <w:tcPr>
            <w:tcW w:w="3300" w:type="dxa"/>
            <w:vAlign w:val="bottom"/>
            <w:tcBorders>
              <w:right w:val="single" w:sz="8" w:color="auto"/>
            </w:tcBorders>
          </w:tcPr>
          <w:p>
            <w:pPr>
              <w:ind w:left="60"/>
              <w:spacing w:after="0" w:line="181" w:lineRule="exact"/>
              <w:rPr>
                <w:sz w:val="20"/>
                <w:szCs w:val="20"/>
                <w:color w:val="auto"/>
              </w:rPr>
            </w:pPr>
            <w:r>
              <w:rPr>
                <w:rFonts w:ascii="Arial" w:cs="Arial" w:eastAsia="Arial" w:hAnsi="Arial"/>
                <w:sz w:val="18"/>
                <w:szCs w:val="18"/>
                <w:color w:val="auto"/>
              </w:rPr>
              <w:t>US$562,876,003 worth of Class A and</w:t>
            </w:r>
          </w:p>
        </w:tc>
      </w:tr>
      <w:tr>
        <w:trPr>
          <w:trHeight w:val="175"/>
        </w:trPr>
        <w:tc>
          <w:tcPr>
            <w:tcW w:w="1080" w:type="dxa"/>
            <w:vAlign w:val="bottom"/>
            <w:tcBorders>
              <w:left w:val="single" w:sz="8" w:color="auto"/>
            </w:tcBorders>
          </w:tcPr>
          <w:p>
            <w:pPr>
              <w:spacing w:after="0"/>
              <w:rPr>
                <w:sz w:val="15"/>
                <w:szCs w:val="15"/>
                <w:color w:val="auto"/>
              </w:rPr>
            </w:pPr>
          </w:p>
        </w:tc>
        <w:tc>
          <w:tcPr>
            <w:tcW w:w="360" w:type="dxa"/>
            <w:vAlign w:val="bottom"/>
            <w:tcBorders>
              <w:right w:val="single" w:sz="8" w:color="auto"/>
            </w:tcBorders>
          </w:tcPr>
          <w:p>
            <w:pPr>
              <w:spacing w:after="0"/>
              <w:rPr>
                <w:sz w:val="15"/>
                <w:szCs w:val="15"/>
                <w:color w:val="auto"/>
              </w:rPr>
            </w:pPr>
          </w:p>
        </w:tc>
        <w:tc>
          <w:tcPr>
            <w:tcW w:w="3260" w:type="dxa"/>
            <w:vAlign w:val="bottom"/>
          </w:tcPr>
          <w:p>
            <w:pPr>
              <w:spacing w:after="0"/>
              <w:rPr>
                <w:sz w:val="15"/>
                <w:szCs w:val="15"/>
                <w:color w:val="auto"/>
              </w:rPr>
            </w:pPr>
          </w:p>
        </w:tc>
        <w:tc>
          <w:tcPr>
            <w:tcW w:w="3260" w:type="dxa"/>
            <w:vAlign w:val="bottom"/>
            <w:tcBorders>
              <w:right w:val="single" w:sz="8" w:color="auto"/>
            </w:tcBorders>
          </w:tcPr>
          <w:p>
            <w:pPr>
              <w:spacing w:after="0"/>
              <w:rPr>
                <w:sz w:val="15"/>
                <w:szCs w:val="15"/>
                <w:color w:val="auto"/>
              </w:rPr>
            </w:pPr>
          </w:p>
        </w:tc>
        <w:tc>
          <w:tcPr>
            <w:tcW w:w="3300" w:type="dxa"/>
            <w:vAlign w:val="bottom"/>
            <w:tcBorders>
              <w:right w:val="single" w:sz="8" w:color="auto"/>
            </w:tcBorders>
          </w:tcPr>
          <w:p>
            <w:pPr>
              <w:ind w:left="60"/>
              <w:spacing w:after="0" w:line="176" w:lineRule="exact"/>
              <w:rPr>
                <w:sz w:val="20"/>
                <w:szCs w:val="20"/>
                <w:color w:val="auto"/>
              </w:rPr>
            </w:pPr>
            <w:r>
              <w:rPr>
                <w:rFonts w:ascii="Arial" w:cs="Arial" w:eastAsia="Arial" w:hAnsi="Arial"/>
                <w:sz w:val="18"/>
                <w:szCs w:val="18"/>
                <w:color w:val="auto"/>
              </w:rPr>
              <w:t>Class B shares (based on total</w:t>
            </w:r>
          </w:p>
        </w:tc>
      </w:tr>
      <w:tr>
        <w:trPr>
          <w:trHeight w:val="184"/>
        </w:trPr>
        <w:tc>
          <w:tcPr>
            <w:tcW w:w="1080" w:type="dxa"/>
            <w:vAlign w:val="bottom"/>
            <w:tcBorders>
              <w:left w:val="single" w:sz="8" w:color="auto"/>
            </w:tcBorders>
          </w:tcPr>
          <w:p>
            <w:pPr>
              <w:spacing w:after="0"/>
              <w:rPr>
                <w:sz w:val="15"/>
                <w:szCs w:val="15"/>
                <w:color w:val="auto"/>
              </w:rPr>
            </w:pPr>
          </w:p>
        </w:tc>
        <w:tc>
          <w:tcPr>
            <w:tcW w:w="360" w:type="dxa"/>
            <w:vAlign w:val="bottom"/>
            <w:tcBorders>
              <w:right w:val="single" w:sz="8" w:color="auto"/>
            </w:tcBorders>
          </w:tcPr>
          <w:p>
            <w:pPr>
              <w:spacing w:after="0"/>
              <w:rPr>
                <w:sz w:val="15"/>
                <w:szCs w:val="15"/>
                <w:color w:val="auto"/>
              </w:rPr>
            </w:pPr>
          </w:p>
        </w:tc>
        <w:tc>
          <w:tcPr>
            <w:tcW w:w="3260" w:type="dxa"/>
            <w:vAlign w:val="bottom"/>
          </w:tcPr>
          <w:p>
            <w:pPr>
              <w:spacing w:after="0"/>
              <w:rPr>
                <w:sz w:val="15"/>
                <w:szCs w:val="15"/>
                <w:color w:val="auto"/>
              </w:rPr>
            </w:pPr>
          </w:p>
        </w:tc>
        <w:tc>
          <w:tcPr>
            <w:tcW w:w="3260" w:type="dxa"/>
            <w:vAlign w:val="bottom"/>
            <w:tcBorders>
              <w:right w:val="single" w:sz="8" w:color="auto"/>
            </w:tcBorders>
          </w:tcPr>
          <w:p>
            <w:pPr>
              <w:spacing w:after="0"/>
              <w:rPr>
                <w:sz w:val="15"/>
                <w:szCs w:val="15"/>
                <w:color w:val="auto"/>
              </w:rPr>
            </w:pPr>
          </w:p>
        </w:tc>
        <w:tc>
          <w:tcPr>
            <w:tcW w:w="3300" w:type="dxa"/>
            <w:vAlign w:val="bottom"/>
            <w:tcBorders>
              <w:right w:val="single" w:sz="8" w:color="auto"/>
            </w:tcBorders>
          </w:tcPr>
          <w:p>
            <w:pPr>
              <w:ind w:left="60"/>
              <w:spacing w:after="0" w:line="183" w:lineRule="exact"/>
              <w:rPr>
                <w:sz w:val="20"/>
                <w:szCs w:val="20"/>
                <w:color w:val="auto"/>
              </w:rPr>
            </w:pPr>
            <w:r>
              <w:rPr>
                <w:rFonts w:ascii="Arial" w:cs="Arial" w:eastAsia="Arial" w:hAnsi="Arial"/>
                <w:sz w:val="18"/>
                <w:szCs w:val="18"/>
                <w:color w:val="auto"/>
              </w:rPr>
              <w:t>consideration paid) under the 2025</w:t>
            </w:r>
          </w:p>
        </w:tc>
      </w:tr>
      <w:tr>
        <w:trPr>
          <w:trHeight w:val="239"/>
        </w:trPr>
        <w:tc>
          <w:tcPr>
            <w:tcW w:w="1080" w:type="dxa"/>
            <w:vAlign w:val="bottom"/>
            <w:tcBorders>
              <w:left w:val="single" w:sz="8" w:color="auto"/>
            </w:tcBorders>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c>
          <w:tcPr>
            <w:tcW w:w="3260" w:type="dxa"/>
            <w:vAlign w:val="bottom"/>
          </w:tcPr>
          <w:p>
            <w:pPr>
              <w:spacing w:after="0"/>
              <w:rPr>
                <w:sz w:val="20"/>
                <w:szCs w:val="20"/>
                <w:color w:val="auto"/>
              </w:rPr>
            </w:pPr>
          </w:p>
        </w:tc>
        <w:tc>
          <w:tcPr>
            <w:tcW w:w="3260" w:type="dxa"/>
            <w:vAlign w:val="bottom"/>
            <w:tcBorders>
              <w:right w:val="single" w:sz="8" w:color="auto"/>
            </w:tcBorders>
          </w:tcPr>
          <w:p>
            <w:pPr>
              <w:spacing w:after="0"/>
              <w:rPr>
                <w:sz w:val="20"/>
                <w:szCs w:val="20"/>
                <w:color w:val="auto"/>
              </w:rPr>
            </w:pPr>
          </w:p>
        </w:tc>
        <w:tc>
          <w:tcPr>
            <w:tcW w:w="33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Repurchase Program.</w:t>
            </w:r>
          </w:p>
        </w:tc>
      </w:tr>
      <w:tr>
        <w:trPr>
          <w:trHeight w:val="50"/>
        </w:trPr>
        <w:tc>
          <w:tcPr>
            <w:tcW w:w="1440" w:type="dxa"/>
            <w:vAlign w:val="bottom"/>
            <w:tcBorders>
              <w:left w:val="single" w:sz="8" w:color="auto"/>
              <w:bottom w:val="single" w:sz="8" w:color="auto"/>
              <w:right w:val="single" w:sz="8" w:color="auto"/>
            </w:tcBorders>
            <w:gridSpan w:val="2"/>
          </w:tcPr>
          <w:p>
            <w:pPr>
              <w:spacing w:after="0"/>
              <w:rPr>
                <w:sz w:val="4"/>
                <w:szCs w:val="4"/>
                <w:color w:val="auto"/>
              </w:rPr>
            </w:pPr>
          </w:p>
        </w:tc>
        <w:tc>
          <w:tcPr>
            <w:tcW w:w="3260" w:type="dxa"/>
            <w:vAlign w:val="bottom"/>
            <w:tcBorders>
              <w:bottom w:val="single" w:sz="8" w:color="auto"/>
            </w:tcBorders>
          </w:tcPr>
          <w:p>
            <w:pPr>
              <w:spacing w:after="0"/>
              <w:rPr>
                <w:sz w:val="4"/>
                <w:szCs w:val="4"/>
                <w:color w:val="auto"/>
              </w:rPr>
            </w:pPr>
          </w:p>
        </w:tc>
        <w:tc>
          <w:tcPr>
            <w:tcW w:w="3260" w:type="dxa"/>
            <w:vAlign w:val="bottom"/>
            <w:tcBorders>
              <w:bottom w:val="single" w:sz="8" w:color="auto"/>
              <w:right w:val="single" w:sz="8" w:color="auto"/>
            </w:tcBorders>
          </w:tcPr>
          <w:p>
            <w:pPr>
              <w:spacing w:after="0"/>
              <w:rPr>
                <w:sz w:val="4"/>
                <w:szCs w:val="4"/>
                <w:color w:val="auto"/>
              </w:rPr>
            </w:pPr>
          </w:p>
        </w:tc>
        <w:tc>
          <w:tcPr>
            <w:tcW w:w="3300" w:type="dxa"/>
            <w:vAlign w:val="bottom"/>
            <w:tcBorders>
              <w:bottom w:val="single" w:sz="8" w:color="auto"/>
              <w:right w:val="single" w:sz="8" w:color="auto"/>
            </w:tcBorders>
          </w:tcPr>
          <w:p>
            <w:pPr>
              <w:spacing w:after="0"/>
              <w:rPr>
                <w:sz w:val="4"/>
                <w:szCs w:val="4"/>
                <w:color w:val="auto"/>
              </w:rPr>
            </w:pPr>
          </w:p>
        </w:tc>
      </w:tr>
      <w:tr>
        <w:trPr>
          <w:trHeight w:val="606"/>
        </w:trPr>
        <w:tc>
          <w:tcPr>
            <w:tcW w:w="4700" w:type="dxa"/>
            <w:vAlign w:val="bottom"/>
            <w:gridSpan w:val="3"/>
          </w:tcPr>
          <w:p>
            <w:pPr>
              <w:spacing w:after="0"/>
              <w:rPr>
                <w:sz w:val="20"/>
                <w:szCs w:val="20"/>
                <w:color w:val="auto"/>
              </w:rPr>
            </w:pPr>
            <w:r>
              <w:rPr>
                <w:rFonts w:ascii="Arial" w:cs="Arial" w:eastAsia="Arial" w:hAnsi="Arial"/>
                <w:sz w:val="14"/>
                <w:szCs w:val="14"/>
                <w:color w:val="auto"/>
              </w:rPr>
              <w:t>Introduced 05/06/21</w:t>
            </w:r>
          </w:p>
        </w:tc>
        <w:tc>
          <w:tcPr>
            <w:tcW w:w="3260" w:type="dxa"/>
            <w:vAlign w:val="bottom"/>
          </w:tcPr>
          <w:p>
            <w:pPr>
              <w:spacing w:after="0"/>
              <w:rPr>
                <w:sz w:val="24"/>
                <w:szCs w:val="24"/>
                <w:color w:val="auto"/>
              </w:rPr>
            </w:pPr>
          </w:p>
        </w:tc>
        <w:tc>
          <w:tcPr>
            <w:tcW w:w="3300" w:type="dxa"/>
            <w:vAlign w:val="bottom"/>
          </w:tcPr>
          <w:p>
            <w:pPr>
              <w:spacing w:after="0"/>
              <w:rPr>
                <w:sz w:val="24"/>
                <w:szCs w:val="24"/>
                <w:color w:val="auto"/>
              </w:rPr>
            </w:pPr>
          </w:p>
        </w:tc>
      </w:tr>
      <w:tr>
        <w:trPr>
          <w:trHeight w:val="629"/>
        </w:trPr>
        <w:tc>
          <w:tcPr>
            <w:tcW w:w="4700" w:type="dxa"/>
            <w:vAlign w:val="bottom"/>
            <w:tcBorders>
              <w:bottom w:val="single" w:sz="8" w:color="auto"/>
            </w:tcBorders>
            <w:gridSpan w:val="3"/>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tcPr>
          <w:p>
            <w:pPr>
              <w:spacing w:after="0"/>
              <w:rPr>
                <w:sz w:val="24"/>
                <w:szCs w:val="24"/>
                <w:color w:val="auto"/>
              </w:rPr>
            </w:pPr>
          </w:p>
        </w:tc>
      </w:tr>
      <w:tr>
        <w:trPr>
          <w:trHeight w:val="208"/>
        </w:trPr>
        <w:tc>
          <w:tcPr>
            <w:tcW w:w="4700" w:type="dxa"/>
            <w:vAlign w:val="bottom"/>
            <w:gridSpan w:val="3"/>
          </w:tcPr>
          <w:p>
            <w:pPr>
              <w:ind w:left="80"/>
              <w:spacing w:after="0"/>
              <w:rPr>
                <w:sz w:val="20"/>
                <w:szCs w:val="20"/>
                <w:color w:val="auto"/>
              </w:rPr>
            </w:pPr>
            <w:r>
              <w:rPr>
                <w:rFonts w:ascii="Arial" w:cs="Arial" w:eastAsia="Arial" w:hAnsi="Arial"/>
                <w:sz w:val="16"/>
                <w:szCs w:val="16"/>
                <w:color w:val="auto"/>
              </w:rPr>
              <w:t>+ See chapter 19 for defined terms</w:t>
            </w:r>
          </w:p>
        </w:tc>
        <w:tc>
          <w:tcPr>
            <w:tcW w:w="3260" w:type="dxa"/>
            <w:vAlign w:val="bottom"/>
          </w:tcPr>
          <w:p>
            <w:pPr>
              <w:spacing w:after="0"/>
              <w:rPr>
                <w:sz w:val="18"/>
                <w:szCs w:val="18"/>
                <w:color w:val="auto"/>
              </w:rPr>
            </w:pPr>
          </w:p>
        </w:tc>
        <w:tc>
          <w:tcPr>
            <w:tcW w:w="3300" w:type="dxa"/>
            <w:vAlign w:val="bottom"/>
          </w:tcPr>
          <w:p>
            <w:pPr>
              <w:spacing w:after="0"/>
              <w:rPr>
                <w:sz w:val="18"/>
                <w:szCs w:val="18"/>
                <w:color w:val="auto"/>
              </w:rPr>
            </w:pPr>
          </w:p>
        </w:tc>
      </w:tr>
      <w:tr>
        <w:trPr>
          <w:trHeight w:val="269"/>
        </w:trPr>
        <w:tc>
          <w:tcPr>
            <w:tcW w:w="1080" w:type="dxa"/>
            <w:vAlign w:val="bottom"/>
          </w:tcPr>
          <w:p>
            <w:pPr>
              <w:spacing w:after="0"/>
              <w:rPr>
                <w:sz w:val="20"/>
                <w:szCs w:val="20"/>
                <w:color w:val="auto"/>
              </w:rPr>
            </w:pPr>
            <w:r>
              <w:rPr>
                <w:rFonts w:ascii="Arial" w:cs="Arial" w:eastAsia="Arial" w:hAnsi="Arial"/>
                <w:sz w:val="16"/>
                <w:szCs w:val="16"/>
                <w:i w:val="1"/>
                <w:iCs w:val="1"/>
                <w:color w:val="auto"/>
              </w:rPr>
              <w:t>5 June 2021</w:t>
            </w:r>
          </w:p>
        </w:tc>
        <w:tc>
          <w:tcPr>
            <w:tcW w:w="3620" w:type="dxa"/>
            <w:vAlign w:val="bottom"/>
            <w:gridSpan w:val="2"/>
          </w:tcPr>
          <w:p>
            <w:pPr>
              <w:ind w:left="180"/>
              <w:spacing w:after="0"/>
              <w:rPr>
                <w:sz w:val="20"/>
                <w:szCs w:val="20"/>
                <w:color w:val="auto"/>
              </w:rPr>
            </w:pPr>
            <w:r>
              <w:rPr>
                <w:rFonts w:ascii="Arial" w:cs="Arial" w:eastAsia="Arial" w:hAnsi="Arial"/>
                <w:sz w:val="16"/>
                <w:szCs w:val="16"/>
                <w:color w:val="auto"/>
              </w:rPr>
              <w:t>Page 4</w:t>
            </w:r>
          </w:p>
        </w:tc>
        <w:tc>
          <w:tcPr>
            <w:tcW w:w="3260" w:type="dxa"/>
            <w:vAlign w:val="bottom"/>
          </w:tcPr>
          <w:p>
            <w:pPr>
              <w:spacing w:after="0"/>
              <w:rPr>
                <w:sz w:val="23"/>
                <w:szCs w:val="23"/>
                <w:color w:val="auto"/>
              </w:rPr>
            </w:pPr>
          </w:p>
        </w:tc>
        <w:tc>
          <w:tcPr>
            <w:tcW w:w="3300" w:type="dxa"/>
            <w:vAlign w:val="bottom"/>
          </w:tcPr>
          <w:p>
            <w:pPr>
              <w:spacing w:after="0"/>
              <w:rPr>
                <w:sz w:val="23"/>
                <w:szCs w:val="23"/>
                <w:color w:val="auto"/>
              </w:rPr>
            </w:pPr>
          </w:p>
        </w:tc>
      </w:tr>
    </w:tbl>
    <w:p>
      <w:pPr>
        <w:sectPr>
          <w:pgSz w:w="11900" w:h="16838" w:orient="portrait"/>
          <w:cols w:equalWidth="0" w:num="1">
            <w:col w:w="11260"/>
          </w:cols>
          <w:pgMar w:left="320" w:top="283" w:right="319" w:bottom="1440" w:gutter="0" w:footer="0" w:header="0"/>
        </w:sectPr>
      </w:pPr>
    </w:p>
    <w:bookmarkStart w:id="7" w:name="page8"/>
    <w:bookmarkEnd w:id="7"/>
    <w:p>
      <w:pPr>
        <w:ind w:left="80"/>
        <w:spacing w:after="0"/>
        <w:rPr>
          <w:sz w:val="20"/>
          <w:szCs w:val="20"/>
          <w:color w:val="auto"/>
        </w:rPr>
      </w:pPr>
      <w:r>
        <w:rPr>
          <w:rFonts w:ascii="Arial" w:cs="Arial" w:eastAsia="Arial" w:hAnsi="Arial"/>
          <w:sz w:val="18"/>
          <w:szCs w:val="18"/>
          <w:i w:val="1"/>
          <w:iCs w:val="1"/>
          <w:color w:val="auto"/>
        </w:rPr>
        <w:t>+Rule 3.8A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20"/>
        <w:spacing w:after="0"/>
        <w:rPr>
          <w:sz w:val="20"/>
          <w:szCs w:val="20"/>
          <w:color w:val="auto"/>
        </w:rPr>
      </w:pPr>
      <w:r>
        <w:rPr>
          <w:rFonts w:ascii="Arial" w:cs="Arial" w:eastAsia="Arial" w:hAnsi="Arial"/>
          <w:sz w:val="29"/>
          <w:szCs w:val="29"/>
          <w:b w:val="1"/>
          <w:bCs w:val="1"/>
          <w:color w:val="auto"/>
        </w:rPr>
        <w:t>Appendix 3C</w:t>
      </w:r>
    </w:p>
    <w:p>
      <w:pPr>
        <w:spacing w:after="0" w:line="34" w:lineRule="exact"/>
        <w:rPr>
          <w:sz w:val="20"/>
          <w:szCs w:val="20"/>
          <w:color w:val="auto"/>
        </w:rPr>
      </w:pPr>
    </w:p>
    <w:p>
      <w:pPr>
        <w:jc w:val="center"/>
        <w:ind w:right="20"/>
        <w:spacing w:after="0"/>
        <w:rPr>
          <w:sz w:val="20"/>
          <w:szCs w:val="20"/>
          <w:color w:val="auto"/>
        </w:rPr>
      </w:pPr>
      <w:r>
        <w:rPr>
          <w:rFonts w:ascii="Arial" w:cs="Arial" w:eastAsia="Arial" w:hAnsi="Arial"/>
          <w:sz w:val="29"/>
          <w:szCs w:val="29"/>
          <w:b w:val="1"/>
          <w:bCs w:val="1"/>
          <w:color w:val="auto"/>
        </w:rPr>
        <w:t>Notification of buy-back</w:t>
      </w:r>
    </w:p>
    <w:p>
      <w:pPr>
        <w:spacing w:after="0" w:line="33" w:lineRule="exact"/>
        <w:rPr>
          <w:sz w:val="20"/>
          <w:szCs w:val="20"/>
          <w:color w:val="auto"/>
        </w:rPr>
      </w:pPr>
    </w:p>
    <w:p>
      <w:pPr>
        <w:ind w:right="240"/>
        <w:spacing w:after="0" w:line="230" w:lineRule="auto"/>
        <w:rPr>
          <w:sz w:val="20"/>
          <w:szCs w:val="20"/>
          <w:color w:val="auto"/>
        </w:rPr>
      </w:pPr>
      <w:r>
        <w:rPr>
          <w:rFonts w:ascii="Arial" w:cs="Arial" w:eastAsia="Arial" w:hAnsi="Arial"/>
          <w:sz w:val="18"/>
          <w:szCs w:val="18"/>
          <w:i w:val="1"/>
          <w:iCs w:val="1"/>
          <w:color w:val="auto"/>
        </w:rPr>
        <w:t>Information or documents not available now must be given to ASX as soon as available. Information and documents given to ASX become ASX’s property and may be made public.</w:t>
      </w:r>
    </w:p>
    <w:p>
      <w:pPr>
        <w:spacing w:after="0" w:line="1" w:lineRule="exact"/>
        <w:rPr>
          <w:sz w:val="20"/>
          <w:szCs w:val="20"/>
          <w:color w:val="auto"/>
        </w:rPr>
      </w:pPr>
    </w:p>
    <w:p>
      <w:pPr>
        <w:ind w:right="180"/>
        <w:spacing w:after="0" w:line="245" w:lineRule="auto"/>
        <w:rPr>
          <w:sz w:val="20"/>
          <w:szCs w:val="20"/>
          <w:color w:val="auto"/>
        </w:rPr>
      </w:pPr>
      <w:r>
        <w:rPr>
          <w:rFonts w:ascii="Arial" w:cs="Arial" w:eastAsia="Arial" w:hAnsi="Arial"/>
          <w:sz w:val="18"/>
          <w:szCs w:val="18"/>
          <w:i w:val="1"/>
          <w:iCs w:val="1"/>
          <w:color w:val="auto"/>
        </w:rPr>
        <w:t>*Denotes minimum information required for first lodgement of this form, with exceptions provided in specific notes for certain questions. The balance of the information, where applicable, must be provided as soon as reasonably practicable by the entity.</w:t>
      </w:r>
    </w:p>
    <w:p>
      <w:pPr>
        <w:spacing w:after="0" w:line="23" w:lineRule="exact"/>
        <w:rPr>
          <w:sz w:val="20"/>
          <w:szCs w:val="20"/>
          <w:color w:val="auto"/>
        </w:rPr>
      </w:pPr>
    </w:p>
    <w:p>
      <w:pPr>
        <w:spacing w:after="0"/>
        <w:rPr>
          <w:sz w:val="20"/>
          <w:szCs w:val="20"/>
          <w:color w:val="auto"/>
        </w:rPr>
      </w:pPr>
      <w:r>
        <w:rPr>
          <w:rFonts w:ascii="Arial" w:cs="Arial" w:eastAsia="Arial" w:hAnsi="Arial"/>
          <w:sz w:val="25"/>
          <w:szCs w:val="25"/>
          <w:color w:val="auto"/>
        </w:rPr>
        <w:t>Part 1 – Entity and announcement details</w:t>
      </w:r>
    </w:p>
    <w:p>
      <w:pPr>
        <w:spacing w:after="0" w:line="134"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1140" w:type="dxa"/>
            <w:vAlign w:val="bottom"/>
            <w:tcBorders>
              <w:top w:val="single" w:sz="8" w:color="auto"/>
              <w:left w:val="single" w:sz="8" w:color="auto"/>
              <w:bottom w:val="single" w:sz="8" w:color="auto"/>
            </w:tcBorders>
          </w:tcPr>
          <w:p>
            <w:pPr>
              <w:ind w:left="80"/>
              <w:spacing w:after="0"/>
              <w:rPr>
                <w:sz w:val="20"/>
                <w:szCs w:val="20"/>
                <w:color w:val="auto"/>
              </w:rPr>
            </w:pPr>
            <w:r>
              <w:rPr>
                <w:rFonts w:ascii="Arial" w:cs="Arial" w:eastAsia="Arial" w:hAnsi="Arial"/>
                <w:sz w:val="16"/>
                <w:szCs w:val="16"/>
                <w:b w:val="1"/>
                <w:bCs w:val="1"/>
                <w:color w:val="auto"/>
              </w:rPr>
              <w:t>Question no</w:t>
            </w:r>
          </w:p>
        </w:tc>
        <w:tc>
          <w:tcPr>
            <w:tcW w:w="140" w:type="dxa"/>
            <w:vAlign w:val="bottom"/>
            <w:tcBorders>
              <w:top w:val="single" w:sz="8" w:color="auto"/>
              <w:bottom w:val="single" w:sz="8" w:color="auto"/>
              <w:right w:val="single" w:sz="8" w:color="auto"/>
            </w:tcBorders>
          </w:tcPr>
          <w:p>
            <w:pPr>
              <w:spacing w:after="0"/>
              <w:rPr>
                <w:sz w:val="21"/>
                <w:szCs w:val="21"/>
                <w:color w:val="auto"/>
              </w:rPr>
            </w:pPr>
          </w:p>
        </w:tc>
        <w:tc>
          <w:tcPr>
            <w:tcW w:w="612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Question</w:t>
            </w:r>
          </w:p>
        </w:tc>
        <w:tc>
          <w:tcPr>
            <w:tcW w:w="386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Answer</w:t>
            </w:r>
          </w:p>
        </w:tc>
      </w:tr>
      <w:tr>
        <w:trPr>
          <w:trHeight w:val="281"/>
        </w:trPr>
        <w:tc>
          <w:tcPr>
            <w:tcW w:w="114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1.1</w:t>
            </w:r>
          </w:p>
        </w:tc>
        <w:tc>
          <w:tcPr>
            <w:tcW w:w="140" w:type="dxa"/>
            <w:vAlign w:val="bottom"/>
            <w:tcBorders>
              <w:right w:val="single" w:sz="8" w:color="auto"/>
            </w:tcBorders>
          </w:tcPr>
          <w:p>
            <w:pPr>
              <w:spacing w:after="0"/>
              <w:rPr>
                <w:sz w:val="24"/>
                <w:szCs w:val="24"/>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*Name of entity</w:t>
            </w:r>
          </w:p>
        </w:tc>
        <w:tc>
          <w:tcPr>
            <w:tcW w:w="38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NEWS CORPORATION</w:t>
            </w:r>
          </w:p>
        </w:tc>
      </w:tr>
      <w:tr>
        <w:trPr>
          <w:trHeight w:val="190"/>
        </w:trPr>
        <w:tc>
          <w:tcPr>
            <w:tcW w:w="1140" w:type="dxa"/>
            <w:vAlign w:val="bottom"/>
            <w:tcBorders>
              <w:left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We (the entity named above) provide the following information about our buy-back</w:t>
            </w:r>
          </w:p>
        </w:tc>
        <w:tc>
          <w:tcPr>
            <w:tcW w:w="3860" w:type="dxa"/>
            <w:vAlign w:val="bottom"/>
            <w:tcBorders>
              <w:right w:val="single" w:sz="8" w:color="auto"/>
            </w:tcBorders>
          </w:tcPr>
          <w:p>
            <w:pPr>
              <w:spacing w:after="0"/>
              <w:rPr>
                <w:sz w:val="16"/>
                <w:szCs w:val="16"/>
                <w:color w:val="auto"/>
              </w:rPr>
            </w:pPr>
          </w:p>
        </w:tc>
      </w:tr>
      <w:tr>
        <w:trPr>
          <w:trHeight w:val="62"/>
        </w:trPr>
        <w:tc>
          <w:tcPr>
            <w:tcW w:w="1140" w:type="dxa"/>
            <w:vAlign w:val="bottom"/>
            <w:tcBorders>
              <w:left w:val="single" w:sz="8" w:color="auto"/>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6120" w:type="dxa"/>
            <w:vAlign w:val="bottom"/>
            <w:tcBorders>
              <w:bottom w:val="single" w:sz="8" w:color="auto"/>
              <w:right w:val="single" w:sz="8" w:color="auto"/>
            </w:tcBorders>
          </w:tcPr>
          <w:p>
            <w:pPr>
              <w:spacing w:after="0"/>
              <w:rPr>
                <w:sz w:val="5"/>
                <w:szCs w:val="5"/>
                <w:color w:val="auto"/>
              </w:rPr>
            </w:pPr>
          </w:p>
        </w:tc>
        <w:tc>
          <w:tcPr>
            <w:tcW w:w="3860" w:type="dxa"/>
            <w:vAlign w:val="bottom"/>
            <w:tcBorders>
              <w:bottom w:val="single" w:sz="8" w:color="auto"/>
              <w:right w:val="single" w:sz="8" w:color="auto"/>
            </w:tcBorders>
          </w:tcPr>
          <w:p>
            <w:pPr>
              <w:spacing w:after="0"/>
              <w:rPr>
                <w:sz w:val="5"/>
                <w:szCs w:val="5"/>
                <w:color w:val="auto"/>
              </w:rPr>
            </w:pPr>
          </w:p>
        </w:tc>
      </w:tr>
      <w:tr>
        <w:trPr>
          <w:trHeight w:val="281"/>
        </w:trPr>
        <w:tc>
          <w:tcPr>
            <w:tcW w:w="114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1.2</w:t>
            </w:r>
          </w:p>
        </w:tc>
        <w:tc>
          <w:tcPr>
            <w:tcW w:w="140" w:type="dxa"/>
            <w:vAlign w:val="bottom"/>
            <w:tcBorders>
              <w:right w:val="single" w:sz="8" w:color="auto"/>
            </w:tcBorders>
          </w:tcPr>
          <w:p>
            <w:pPr>
              <w:spacing w:after="0"/>
              <w:rPr>
                <w:sz w:val="24"/>
                <w:szCs w:val="24"/>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*Registration type and number</w:t>
            </w:r>
          </w:p>
        </w:tc>
        <w:tc>
          <w:tcPr>
            <w:tcW w:w="38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ARBN 163882933</w:t>
            </w:r>
          </w:p>
        </w:tc>
      </w:tr>
      <w:tr>
        <w:trPr>
          <w:trHeight w:val="151"/>
        </w:trPr>
        <w:tc>
          <w:tcPr>
            <w:tcW w:w="1140" w:type="dxa"/>
            <w:vAlign w:val="bottom"/>
            <w:tcBorders>
              <w:left w:val="single" w:sz="8" w:color="auto"/>
            </w:tcBorders>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6120" w:type="dxa"/>
            <w:vAlign w:val="bottom"/>
            <w:tcBorders>
              <w:right w:val="single" w:sz="8" w:color="auto"/>
            </w:tcBorders>
          </w:tcPr>
          <w:p>
            <w:pPr>
              <w:ind w:left="60"/>
              <w:spacing w:after="0" w:line="151" w:lineRule="exact"/>
              <w:rPr>
                <w:sz w:val="20"/>
                <w:szCs w:val="20"/>
                <w:color w:val="auto"/>
              </w:rPr>
            </w:pPr>
            <w:r>
              <w:rPr>
                <w:rFonts w:ascii="Arial" w:cs="Arial" w:eastAsia="Arial" w:hAnsi="Arial"/>
                <w:sz w:val="14"/>
                <w:szCs w:val="14"/>
                <w:i w:val="1"/>
                <w:iCs w:val="1"/>
                <w:color w:val="auto"/>
              </w:rPr>
              <w:t>Please supply your ABN, ARSN, ARBN, ACN or another registration type and number (if you</w:t>
            </w:r>
          </w:p>
        </w:tc>
        <w:tc>
          <w:tcPr>
            <w:tcW w:w="3860" w:type="dxa"/>
            <w:vAlign w:val="bottom"/>
            <w:tcBorders>
              <w:right w:val="single" w:sz="8" w:color="auto"/>
            </w:tcBorders>
          </w:tcPr>
          <w:p>
            <w:pPr>
              <w:spacing w:after="0"/>
              <w:rPr>
                <w:sz w:val="13"/>
                <w:szCs w:val="13"/>
                <w:color w:val="auto"/>
              </w:rPr>
            </w:pPr>
          </w:p>
        </w:tc>
      </w:tr>
      <w:tr>
        <w:trPr>
          <w:trHeight w:val="142"/>
        </w:trPr>
        <w:tc>
          <w:tcPr>
            <w:tcW w:w="1140" w:type="dxa"/>
            <w:vAlign w:val="bottom"/>
            <w:tcBorders>
              <w:left w:val="single" w:sz="8" w:color="auto"/>
            </w:tcBorders>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6120" w:type="dxa"/>
            <w:vAlign w:val="bottom"/>
            <w:tcBorders>
              <w:right w:val="single" w:sz="8" w:color="auto"/>
            </w:tcBorders>
          </w:tcPr>
          <w:p>
            <w:pPr>
              <w:ind w:left="60"/>
              <w:spacing w:after="0" w:line="143" w:lineRule="exact"/>
              <w:rPr>
                <w:sz w:val="20"/>
                <w:szCs w:val="20"/>
                <w:color w:val="auto"/>
              </w:rPr>
            </w:pPr>
            <w:r>
              <w:rPr>
                <w:rFonts w:ascii="Arial" w:cs="Arial" w:eastAsia="Arial" w:hAnsi="Arial"/>
                <w:sz w:val="14"/>
                <w:szCs w:val="14"/>
                <w:i w:val="1"/>
                <w:iCs w:val="1"/>
                <w:color w:val="auto"/>
              </w:rPr>
              <w:t>supply another registration type, please specify both the type of registration and the</w:t>
            </w:r>
          </w:p>
        </w:tc>
        <w:tc>
          <w:tcPr>
            <w:tcW w:w="3860" w:type="dxa"/>
            <w:vAlign w:val="bottom"/>
            <w:tcBorders>
              <w:right w:val="single" w:sz="8" w:color="auto"/>
            </w:tcBorders>
          </w:tcPr>
          <w:p>
            <w:pPr>
              <w:spacing w:after="0"/>
              <w:rPr>
                <w:sz w:val="12"/>
                <w:szCs w:val="12"/>
                <w:color w:val="auto"/>
              </w:rPr>
            </w:pPr>
          </w:p>
        </w:tc>
      </w:tr>
      <w:tr>
        <w:trPr>
          <w:trHeight w:val="188"/>
        </w:trPr>
        <w:tc>
          <w:tcPr>
            <w:tcW w:w="1140" w:type="dxa"/>
            <w:vAlign w:val="bottom"/>
            <w:tcBorders>
              <w:left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registration number).</w:t>
            </w:r>
          </w:p>
        </w:tc>
        <w:tc>
          <w:tcPr>
            <w:tcW w:w="3860" w:type="dxa"/>
            <w:vAlign w:val="bottom"/>
            <w:tcBorders>
              <w:right w:val="single" w:sz="8" w:color="auto"/>
            </w:tcBorders>
          </w:tcPr>
          <w:p>
            <w:pPr>
              <w:spacing w:after="0"/>
              <w:rPr>
                <w:sz w:val="16"/>
                <w:szCs w:val="16"/>
                <w:color w:val="auto"/>
              </w:rPr>
            </w:pPr>
          </w:p>
        </w:tc>
      </w:tr>
      <w:tr>
        <w:trPr>
          <w:trHeight w:val="55"/>
        </w:trPr>
        <w:tc>
          <w:tcPr>
            <w:tcW w:w="1140" w:type="dxa"/>
            <w:vAlign w:val="bottom"/>
            <w:tcBorders>
              <w:left w:val="single" w:sz="8" w:color="auto"/>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6120" w:type="dxa"/>
            <w:vAlign w:val="bottom"/>
            <w:tcBorders>
              <w:bottom w:val="single" w:sz="8" w:color="auto"/>
              <w:right w:val="single" w:sz="8" w:color="auto"/>
            </w:tcBorders>
          </w:tcPr>
          <w:p>
            <w:pPr>
              <w:spacing w:after="0"/>
              <w:rPr>
                <w:sz w:val="4"/>
                <w:szCs w:val="4"/>
                <w:color w:val="auto"/>
              </w:rPr>
            </w:pPr>
          </w:p>
        </w:tc>
        <w:tc>
          <w:tcPr>
            <w:tcW w:w="3860" w:type="dxa"/>
            <w:vAlign w:val="bottom"/>
            <w:tcBorders>
              <w:bottom w:val="single" w:sz="8" w:color="auto"/>
              <w:right w:val="single" w:sz="8" w:color="auto"/>
            </w:tcBorders>
          </w:tcPr>
          <w:p>
            <w:pPr>
              <w:spacing w:after="0"/>
              <w:rPr>
                <w:sz w:val="4"/>
                <w:szCs w:val="4"/>
                <w:color w:val="auto"/>
              </w:rPr>
            </w:pPr>
          </w:p>
        </w:tc>
      </w:tr>
      <w:tr>
        <w:trPr>
          <w:trHeight w:val="223"/>
        </w:trPr>
        <w:tc>
          <w:tcPr>
            <w:tcW w:w="114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1.3</w:t>
            </w:r>
          </w:p>
        </w:tc>
        <w:tc>
          <w:tcPr>
            <w:tcW w:w="140" w:type="dxa"/>
            <w:vAlign w:val="bottom"/>
            <w:tcBorders>
              <w:bottom w:val="single" w:sz="8" w:color="auto"/>
              <w:right w:val="single" w:sz="8" w:color="auto"/>
            </w:tcBorders>
          </w:tcPr>
          <w:p>
            <w:pPr>
              <w:spacing w:after="0"/>
              <w:rPr>
                <w:sz w:val="19"/>
                <w:szCs w:val="19"/>
                <w:color w:val="auto"/>
              </w:rPr>
            </w:pPr>
          </w:p>
        </w:tc>
        <w:tc>
          <w:tcPr>
            <w:tcW w:w="6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*ASX issuer code</w:t>
            </w:r>
          </w:p>
        </w:tc>
        <w:tc>
          <w:tcPr>
            <w:tcW w:w="38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NWS</w:t>
            </w:r>
          </w:p>
        </w:tc>
      </w:tr>
      <w:tr>
        <w:trPr>
          <w:trHeight w:val="232"/>
        </w:trPr>
        <w:tc>
          <w:tcPr>
            <w:tcW w:w="114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1.4</w:t>
            </w:r>
          </w:p>
        </w:tc>
        <w:tc>
          <w:tcPr>
            <w:tcW w:w="140" w:type="dxa"/>
            <w:vAlign w:val="bottom"/>
            <w:tcBorders>
              <w:right w:val="single" w:sz="8" w:color="auto"/>
            </w:tcBorders>
          </w:tcPr>
          <w:p>
            <w:pPr>
              <w:spacing w:after="0"/>
              <w:rPr>
                <w:sz w:val="20"/>
                <w:szCs w:val="20"/>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*The announcement is</w:t>
            </w:r>
          </w:p>
        </w:tc>
        <w:tc>
          <w:tcPr>
            <w:tcW w:w="3860" w:type="dxa"/>
            <w:vAlign w:val="bottom"/>
            <w:tcBorders>
              <w:right w:val="single" w:sz="8" w:color="auto"/>
            </w:tcBorders>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New announcement</w:t>
            </w:r>
          </w:p>
        </w:tc>
      </w:tr>
      <w:tr>
        <w:trPr>
          <w:trHeight w:val="221"/>
        </w:trPr>
        <w:tc>
          <w:tcPr>
            <w:tcW w:w="1140" w:type="dxa"/>
            <w:vAlign w:val="bottom"/>
            <w:tcBorders>
              <w:left w:val="single" w:sz="8" w:color="auto"/>
            </w:tcBorders>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Select whichever is applicable.</w:t>
            </w:r>
          </w:p>
        </w:tc>
        <w:tc>
          <w:tcPr>
            <w:tcW w:w="3860" w:type="dxa"/>
            <w:vAlign w:val="bottom"/>
            <w:tcBorders>
              <w:right w:val="single" w:sz="8" w:color="auto"/>
            </w:tcBorders>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Update/amendment to previous</w:t>
            </w:r>
          </w:p>
        </w:tc>
      </w:tr>
      <w:tr>
        <w:trPr>
          <w:trHeight w:val="198"/>
        </w:trPr>
        <w:tc>
          <w:tcPr>
            <w:tcW w:w="1140" w:type="dxa"/>
            <w:vAlign w:val="bottom"/>
            <w:tcBorders>
              <w:left w:val="single" w:sz="8" w:color="auto"/>
            </w:tcBorders>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6120" w:type="dxa"/>
            <w:vAlign w:val="bottom"/>
            <w:tcBorders>
              <w:right w:val="single" w:sz="8" w:color="auto"/>
            </w:tcBorders>
          </w:tcPr>
          <w:p>
            <w:pPr>
              <w:spacing w:after="0"/>
              <w:rPr>
                <w:sz w:val="17"/>
                <w:szCs w:val="17"/>
                <w:color w:val="auto"/>
              </w:rPr>
            </w:pPr>
          </w:p>
        </w:tc>
        <w:tc>
          <w:tcPr>
            <w:tcW w:w="3860" w:type="dxa"/>
            <w:vAlign w:val="bottom"/>
            <w:tcBorders>
              <w:right w:val="single" w:sz="8" w:color="auto"/>
            </w:tcBorders>
          </w:tcPr>
          <w:p>
            <w:pPr>
              <w:ind w:left="320"/>
              <w:spacing w:after="0" w:line="198" w:lineRule="exact"/>
              <w:rPr>
                <w:sz w:val="20"/>
                <w:szCs w:val="20"/>
                <w:color w:val="auto"/>
              </w:rPr>
            </w:pPr>
            <w:r>
              <w:rPr>
                <w:rFonts w:ascii="Arial" w:cs="Arial" w:eastAsia="Arial" w:hAnsi="Arial"/>
                <w:sz w:val="18"/>
                <w:szCs w:val="18"/>
                <w:color w:val="auto"/>
              </w:rPr>
              <w:t>announcement</w:t>
            </w:r>
          </w:p>
        </w:tc>
      </w:tr>
      <w:tr>
        <w:trPr>
          <w:trHeight w:val="229"/>
        </w:trPr>
        <w:tc>
          <w:tcPr>
            <w:tcW w:w="1140" w:type="dxa"/>
            <w:vAlign w:val="bottom"/>
            <w:tcBorders>
              <w:left w:val="single" w:sz="8" w:color="auto"/>
            </w:tcBorders>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6120" w:type="dxa"/>
            <w:vAlign w:val="bottom"/>
            <w:tcBorders>
              <w:right w:val="single" w:sz="8" w:color="auto"/>
            </w:tcBorders>
          </w:tcPr>
          <w:p>
            <w:pPr>
              <w:spacing w:after="0"/>
              <w:rPr>
                <w:sz w:val="19"/>
                <w:szCs w:val="19"/>
                <w:color w:val="auto"/>
              </w:rPr>
            </w:pPr>
          </w:p>
        </w:tc>
        <w:tc>
          <w:tcPr>
            <w:tcW w:w="3860" w:type="dxa"/>
            <w:vAlign w:val="bottom"/>
            <w:tcBorders>
              <w:right w:val="single" w:sz="8" w:color="auto"/>
            </w:tcBorders>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Cancellation of previous announcement</w:t>
            </w:r>
          </w:p>
        </w:tc>
      </w:tr>
      <w:tr>
        <w:trPr>
          <w:trHeight w:val="281"/>
        </w:trPr>
        <w:tc>
          <w:tcPr>
            <w:tcW w:w="114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6120" w:type="dxa"/>
            <w:vAlign w:val="bottom"/>
            <w:tcBorders>
              <w:right w:val="single" w:sz="8" w:color="auto"/>
            </w:tcBorders>
          </w:tcPr>
          <w:p>
            <w:pPr>
              <w:spacing w:after="0"/>
              <w:rPr>
                <w:sz w:val="24"/>
                <w:szCs w:val="24"/>
                <w:color w:val="auto"/>
              </w:rPr>
            </w:pPr>
          </w:p>
        </w:tc>
        <w:tc>
          <w:tcPr>
            <w:tcW w:w="3860" w:type="dxa"/>
            <w:vAlign w:val="bottom"/>
            <w:tcBorders>
              <w:right w:val="single" w:sz="8" w:color="auto"/>
            </w:tcBorders>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Daily buy-back notification</w:t>
            </w:r>
          </w:p>
        </w:tc>
      </w:tr>
      <w:tr>
        <w:trPr>
          <w:trHeight w:val="188"/>
        </w:trPr>
        <w:tc>
          <w:tcPr>
            <w:tcW w:w="1140" w:type="dxa"/>
            <w:vAlign w:val="bottom"/>
            <w:tcBorders>
              <w:left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6120" w:type="dxa"/>
            <w:vAlign w:val="bottom"/>
            <w:tcBorders>
              <w:right w:val="single" w:sz="8" w:color="auto"/>
            </w:tcBorders>
          </w:tcPr>
          <w:p>
            <w:pPr>
              <w:spacing w:after="0"/>
              <w:rPr>
                <w:sz w:val="16"/>
                <w:szCs w:val="16"/>
                <w:color w:val="auto"/>
              </w:rPr>
            </w:pPr>
          </w:p>
        </w:tc>
        <w:tc>
          <w:tcPr>
            <w:tcW w:w="3860" w:type="dxa"/>
            <w:vAlign w:val="bottom"/>
            <w:tcBorders>
              <w:right w:val="single" w:sz="8" w:color="auto"/>
            </w:tcBorders>
          </w:tcPr>
          <w:p>
            <w:pPr>
              <w:ind w:left="320"/>
              <w:spacing w:after="0"/>
              <w:rPr>
                <w:sz w:val="20"/>
                <w:szCs w:val="20"/>
                <w:color w:val="auto"/>
              </w:rPr>
            </w:pPr>
            <w:r>
              <w:rPr>
                <w:rFonts w:ascii="Arial" w:cs="Arial" w:eastAsia="Arial" w:hAnsi="Arial"/>
                <w:sz w:val="14"/>
                <w:szCs w:val="14"/>
                <w:i w:val="1"/>
                <w:iCs w:val="1"/>
                <w:color w:val="auto"/>
              </w:rPr>
              <w:t>Not applicable for selective buy-backs</w:t>
            </w:r>
          </w:p>
        </w:tc>
      </w:tr>
      <w:tr>
        <w:trPr>
          <w:trHeight w:val="165"/>
        </w:trPr>
        <w:tc>
          <w:tcPr>
            <w:tcW w:w="1140" w:type="dxa"/>
            <w:vAlign w:val="bottom"/>
            <w:tcBorders>
              <w:left w:val="single" w:sz="8" w:color="auto"/>
            </w:tcBorders>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6120" w:type="dxa"/>
            <w:vAlign w:val="bottom"/>
            <w:tcBorders>
              <w:right w:val="single" w:sz="8" w:color="auto"/>
            </w:tcBorders>
          </w:tcPr>
          <w:p>
            <w:pPr>
              <w:spacing w:after="0"/>
              <w:rPr>
                <w:sz w:val="14"/>
                <w:szCs w:val="14"/>
                <w:color w:val="auto"/>
              </w:rPr>
            </w:pPr>
          </w:p>
        </w:tc>
        <w:tc>
          <w:tcPr>
            <w:tcW w:w="3860" w:type="dxa"/>
            <w:vAlign w:val="bottom"/>
            <w:tcBorders>
              <w:right w:val="single" w:sz="8" w:color="auto"/>
            </w:tcBorders>
          </w:tcPr>
          <w:p>
            <w:pPr>
              <w:ind w:left="320"/>
              <w:spacing w:after="0"/>
              <w:rPr>
                <w:sz w:val="20"/>
                <w:szCs w:val="20"/>
                <w:color w:val="auto"/>
              </w:rPr>
            </w:pPr>
            <w:r>
              <w:rPr>
                <w:rFonts w:ascii="Arial" w:cs="Arial" w:eastAsia="Arial" w:hAnsi="Arial"/>
                <w:sz w:val="14"/>
                <w:szCs w:val="14"/>
                <w:i w:val="1"/>
                <w:iCs w:val="1"/>
                <w:color w:val="auto"/>
              </w:rPr>
              <w:t>(complete Part 4)</w:t>
            </w:r>
          </w:p>
        </w:tc>
      </w:tr>
      <w:tr>
        <w:trPr>
          <w:trHeight w:val="281"/>
        </w:trPr>
        <w:tc>
          <w:tcPr>
            <w:tcW w:w="114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6120" w:type="dxa"/>
            <w:vAlign w:val="bottom"/>
            <w:tcBorders>
              <w:right w:val="single" w:sz="8" w:color="auto"/>
            </w:tcBorders>
          </w:tcPr>
          <w:p>
            <w:pPr>
              <w:spacing w:after="0"/>
              <w:rPr>
                <w:sz w:val="24"/>
                <w:szCs w:val="24"/>
                <w:color w:val="auto"/>
              </w:rPr>
            </w:pPr>
          </w:p>
        </w:tc>
        <w:tc>
          <w:tcPr>
            <w:tcW w:w="3860" w:type="dxa"/>
            <w:vAlign w:val="bottom"/>
            <w:tcBorders>
              <w:right w:val="single" w:sz="8" w:color="auto"/>
            </w:tcBorders>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Final buy-back notification</w:t>
            </w:r>
          </w:p>
        </w:tc>
      </w:tr>
      <w:tr>
        <w:trPr>
          <w:trHeight w:val="188"/>
        </w:trPr>
        <w:tc>
          <w:tcPr>
            <w:tcW w:w="1140" w:type="dxa"/>
            <w:vAlign w:val="bottom"/>
            <w:tcBorders>
              <w:left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6120" w:type="dxa"/>
            <w:vAlign w:val="bottom"/>
            <w:tcBorders>
              <w:right w:val="single" w:sz="8" w:color="auto"/>
            </w:tcBorders>
          </w:tcPr>
          <w:p>
            <w:pPr>
              <w:spacing w:after="0"/>
              <w:rPr>
                <w:sz w:val="16"/>
                <w:szCs w:val="16"/>
                <w:color w:val="auto"/>
              </w:rPr>
            </w:pPr>
          </w:p>
        </w:tc>
        <w:tc>
          <w:tcPr>
            <w:tcW w:w="3860" w:type="dxa"/>
            <w:vAlign w:val="bottom"/>
            <w:tcBorders>
              <w:right w:val="single" w:sz="8" w:color="auto"/>
            </w:tcBorders>
          </w:tcPr>
          <w:p>
            <w:pPr>
              <w:ind w:left="320"/>
              <w:spacing w:after="0"/>
              <w:rPr>
                <w:sz w:val="20"/>
                <w:szCs w:val="20"/>
                <w:color w:val="auto"/>
              </w:rPr>
            </w:pPr>
            <w:r>
              <w:rPr>
                <w:rFonts w:ascii="Arial" w:cs="Arial" w:eastAsia="Arial" w:hAnsi="Arial"/>
                <w:sz w:val="14"/>
                <w:szCs w:val="14"/>
                <w:i w:val="1"/>
                <w:iCs w:val="1"/>
                <w:color w:val="auto"/>
              </w:rPr>
              <w:t>(complete Part 5)</w:t>
            </w:r>
          </w:p>
        </w:tc>
      </w:tr>
      <w:tr>
        <w:trPr>
          <w:trHeight w:val="62"/>
        </w:trPr>
        <w:tc>
          <w:tcPr>
            <w:tcW w:w="1140" w:type="dxa"/>
            <w:vAlign w:val="bottom"/>
            <w:tcBorders>
              <w:left w:val="single" w:sz="8" w:color="auto"/>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6120" w:type="dxa"/>
            <w:vAlign w:val="bottom"/>
            <w:tcBorders>
              <w:bottom w:val="single" w:sz="8" w:color="auto"/>
              <w:right w:val="single" w:sz="8" w:color="auto"/>
            </w:tcBorders>
          </w:tcPr>
          <w:p>
            <w:pPr>
              <w:spacing w:after="0"/>
              <w:rPr>
                <w:sz w:val="5"/>
                <w:szCs w:val="5"/>
                <w:color w:val="auto"/>
              </w:rPr>
            </w:pPr>
          </w:p>
        </w:tc>
        <w:tc>
          <w:tcPr>
            <w:tcW w:w="3860" w:type="dxa"/>
            <w:vAlign w:val="bottom"/>
            <w:tcBorders>
              <w:bottom w:val="single" w:sz="8" w:color="auto"/>
              <w:right w:val="single" w:sz="8" w:color="auto"/>
            </w:tcBorders>
          </w:tcPr>
          <w:p>
            <w:pPr>
              <w:spacing w:after="0"/>
              <w:rPr>
                <w:sz w:val="5"/>
                <w:szCs w:val="5"/>
                <w:color w:val="auto"/>
              </w:rPr>
            </w:pPr>
          </w:p>
        </w:tc>
      </w:tr>
      <w:tr>
        <w:trPr>
          <w:trHeight w:val="281"/>
        </w:trPr>
        <w:tc>
          <w:tcPr>
            <w:tcW w:w="114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1.4b</w:t>
            </w:r>
          </w:p>
        </w:tc>
        <w:tc>
          <w:tcPr>
            <w:tcW w:w="140" w:type="dxa"/>
            <w:vAlign w:val="bottom"/>
            <w:tcBorders>
              <w:right w:val="single" w:sz="8" w:color="auto"/>
            </w:tcBorders>
          </w:tcPr>
          <w:p>
            <w:pPr>
              <w:spacing w:after="0"/>
              <w:rPr>
                <w:sz w:val="24"/>
                <w:szCs w:val="24"/>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*Reason for update</w:t>
            </w:r>
          </w:p>
        </w:tc>
        <w:tc>
          <w:tcPr>
            <w:tcW w:w="38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Update to 3A.1</w:t>
            </w:r>
          </w:p>
        </w:tc>
      </w:tr>
      <w:tr>
        <w:trPr>
          <w:trHeight w:val="151"/>
        </w:trPr>
        <w:tc>
          <w:tcPr>
            <w:tcW w:w="1140" w:type="dxa"/>
            <w:vAlign w:val="bottom"/>
            <w:tcBorders>
              <w:left w:val="single" w:sz="8" w:color="auto"/>
            </w:tcBorders>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6120" w:type="dxa"/>
            <w:vAlign w:val="bottom"/>
            <w:tcBorders>
              <w:right w:val="single" w:sz="8" w:color="auto"/>
            </w:tcBorders>
          </w:tcPr>
          <w:p>
            <w:pPr>
              <w:ind w:left="60"/>
              <w:spacing w:after="0" w:line="151" w:lineRule="exact"/>
              <w:rPr>
                <w:sz w:val="20"/>
                <w:szCs w:val="20"/>
                <w:color w:val="auto"/>
              </w:rPr>
            </w:pPr>
            <w:r>
              <w:rPr>
                <w:rFonts w:ascii="Arial" w:cs="Arial" w:eastAsia="Arial" w:hAnsi="Arial"/>
                <w:sz w:val="14"/>
                <w:szCs w:val="14"/>
                <w:i w:val="1"/>
                <w:iCs w:val="1"/>
                <w:color w:val="auto"/>
              </w:rPr>
              <w:t>Answer this question if your response to Q 1.4 is “Update/amendment to previous</w:t>
            </w:r>
          </w:p>
        </w:tc>
        <w:tc>
          <w:tcPr>
            <w:tcW w:w="3860" w:type="dxa"/>
            <w:vAlign w:val="bottom"/>
            <w:tcBorders>
              <w:right w:val="single" w:sz="8" w:color="auto"/>
            </w:tcBorders>
          </w:tcPr>
          <w:p>
            <w:pPr>
              <w:spacing w:after="0"/>
              <w:rPr>
                <w:sz w:val="13"/>
                <w:szCs w:val="13"/>
                <w:color w:val="auto"/>
              </w:rPr>
            </w:pPr>
          </w:p>
        </w:tc>
      </w:tr>
      <w:tr>
        <w:trPr>
          <w:trHeight w:val="188"/>
        </w:trPr>
        <w:tc>
          <w:tcPr>
            <w:tcW w:w="1140" w:type="dxa"/>
            <w:vAlign w:val="bottom"/>
            <w:tcBorders>
              <w:left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announcement”.</w:t>
            </w:r>
          </w:p>
        </w:tc>
        <w:tc>
          <w:tcPr>
            <w:tcW w:w="3860" w:type="dxa"/>
            <w:vAlign w:val="bottom"/>
            <w:tcBorders>
              <w:right w:val="single" w:sz="8" w:color="auto"/>
            </w:tcBorders>
          </w:tcPr>
          <w:p>
            <w:pPr>
              <w:spacing w:after="0"/>
              <w:rPr>
                <w:sz w:val="16"/>
                <w:szCs w:val="16"/>
                <w:color w:val="auto"/>
              </w:rPr>
            </w:pPr>
          </w:p>
        </w:tc>
      </w:tr>
      <w:tr>
        <w:trPr>
          <w:trHeight w:val="62"/>
        </w:trPr>
        <w:tc>
          <w:tcPr>
            <w:tcW w:w="1140" w:type="dxa"/>
            <w:vAlign w:val="bottom"/>
            <w:tcBorders>
              <w:left w:val="single" w:sz="8" w:color="auto"/>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6120" w:type="dxa"/>
            <w:vAlign w:val="bottom"/>
            <w:tcBorders>
              <w:bottom w:val="single" w:sz="8" w:color="auto"/>
              <w:right w:val="single" w:sz="8" w:color="auto"/>
            </w:tcBorders>
          </w:tcPr>
          <w:p>
            <w:pPr>
              <w:spacing w:after="0"/>
              <w:rPr>
                <w:sz w:val="5"/>
                <w:szCs w:val="5"/>
                <w:color w:val="auto"/>
              </w:rPr>
            </w:pPr>
          </w:p>
        </w:tc>
        <w:tc>
          <w:tcPr>
            <w:tcW w:w="3860" w:type="dxa"/>
            <w:vAlign w:val="bottom"/>
            <w:tcBorders>
              <w:bottom w:val="single" w:sz="8" w:color="auto"/>
              <w:right w:val="single" w:sz="8" w:color="auto"/>
            </w:tcBorders>
          </w:tcPr>
          <w:p>
            <w:pPr>
              <w:spacing w:after="0"/>
              <w:rPr>
                <w:sz w:val="5"/>
                <w:szCs w:val="5"/>
                <w:color w:val="auto"/>
              </w:rPr>
            </w:pPr>
          </w:p>
        </w:tc>
      </w:tr>
      <w:tr>
        <w:trPr>
          <w:trHeight w:val="281"/>
        </w:trPr>
        <w:tc>
          <w:tcPr>
            <w:tcW w:w="114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1.4c</w:t>
            </w:r>
          </w:p>
        </w:tc>
        <w:tc>
          <w:tcPr>
            <w:tcW w:w="140" w:type="dxa"/>
            <w:vAlign w:val="bottom"/>
            <w:tcBorders>
              <w:right w:val="single" w:sz="8" w:color="auto"/>
            </w:tcBorders>
          </w:tcPr>
          <w:p>
            <w:pPr>
              <w:spacing w:after="0"/>
              <w:rPr>
                <w:sz w:val="24"/>
                <w:szCs w:val="24"/>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*Date of initial notification of buy-back</w:t>
            </w:r>
          </w:p>
        </w:tc>
        <w:tc>
          <w:tcPr>
            <w:tcW w:w="38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15/07/2025</w:t>
            </w:r>
          </w:p>
        </w:tc>
      </w:tr>
      <w:tr>
        <w:trPr>
          <w:trHeight w:val="151"/>
        </w:trPr>
        <w:tc>
          <w:tcPr>
            <w:tcW w:w="1140" w:type="dxa"/>
            <w:vAlign w:val="bottom"/>
            <w:tcBorders>
              <w:left w:val="single" w:sz="8" w:color="auto"/>
            </w:tcBorders>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6120" w:type="dxa"/>
            <w:vAlign w:val="bottom"/>
            <w:tcBorders>
              <w:right w:val="single" w:sz="8" w:color="auto"/>
            </w:tcBorders>
          </w:tcPr>
          <w:p>
            <w:pPr>
              <w:ind w:left="60"/>
              <w:spacing w:after="0" w:line="151" w:lineRule="exact"/>
              <w:rPr>
                <w:sz w:val="20"/>
                <w:szCs w:val="20"/>
                <w:color w:val="auto"/>
              </w:rPr>
            </w:pPr>
            <w:r>
              <w:rPr>
                <w:rFonts w:ascii="Arial" w:cs="Arial" w:eastAsia="Arial" w:hAnsi="Arial"/>
                <w:sz w:val="14"/>
                <w:szCs w:val="14"/>
                <w:i w:val="1"/>
                <w:iCs w:val="1"/>
                <w:color w:val="auto"/>
              </w:rPr>
              <w:t>Answer this question if your response to Q 1.4 is “Update/amendment to previous</w:t>
            </w:r>
          </w:p>
        </w:tc>
        <w:tc>
          <w:tcPr>
            <w:tcW w:w="3860" w:type="dxa"/>
            <w:vAlign w:val="bottom"/>
            <w:tcBorders>
              <w:right w:val="single" w:sz="8" w:color="auto"/>
            </w:tcBorders>
          </w:tcPr>
          <w:p>
            <w:pPr>
              <w:spacing w:after="0"/>
              <w:rPr>
                <w:sz w:val="13"/>
                <w:szCs w:val="13"/>
                <w:color w:val="auto"/>
              </w:rPr>
            </w:pPr>
          </w:p>
        </w:tc>
      </w:tr>
      <w:tr>
        <w:trPr>
          <w:trHeight w:val="188"/>
        </w:trPr>
        <w:tc>
          <w:tcPr>
            <w:tcW w:w="1140" w:type="dxa"/>
            <w:vAlign w:val="bottom"/>
            <w:tcBorders>
              <w:left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announcement” or “Cancellation of previous announcement”.</w:t>
            </w:r>
          </w:p>
        </w:tc>
        <w:tc>
          <w:tcPr>
            <w:tcW w:w="3860" w:type="dxa"/>
            <w:vAlign w:val="bottom"/>
            <w:tcBorders>
              <w:right w:val="single" w:sz="8" w:color="auto"/>
            </w:tcBorders>
          </w:tcPr>
          <w:p>
            <w:pPr>
              <w:spacing w:after="0"/>
              <w:rPr>
                <w:sz w:val="16"/>
                <w:szCs w:val="16"/>
                <w:color w:val="auto"/>
              </w:rPr>
            </w:pPr>
          </w:p>
        </w:tc>
      </w:tr>
      <w:tr>
        <w:trPr>
          <w:trHeight w:val="62"/>
        </w:trPr>
        <w:tc>
          <w:tcPr>
            <w:tcW w:w="1140" w:type="dxa"/>
            <w:vAlign w:val="bottom"/>
            <w:tcBorders>
              <w:left w:val="single" w:sz="8" w:color="auto"/>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6120" w:type="dxa"/>
            <w:vAlign w:val="bottom"/>
            <w:tcBorders>
              <w:bottom w:val="single" w:sz="8" w:color="auto"/>
              <w:right w:val="single" w:sz="8" w:color="auto"/>
            </w:tcBorders>
          </w:tcPr>
          <w:p>
            <w:pPr>
              <w:spacing w:after="0"/>
              <w:rPr>
                <w:sz w:val="5"/>
                <w:szCs w:val="5"/>
                <w:color w:val="auto"/>
              </w:rPr>
            </w:pPr>
          </w:p>
        </w:tc>
        <w:tc>
          <w:tcPr>
            <w:tcW w:w="3860" w:type="dxa"/>
            <w:vAlign w:val="bottom"/>
            <w:tcBorders>
              <w:bottom w:val="single" w:sz="8" w:color="auto"/>
              <w:right w:val="single" w:sz="8" w:color="auto"/>
            </w:tcBorders>
          </w:tcPr>
          <w:p>
            <w:pPr>
              <w:spacing w:after="0"/>
              <w:rPr>
                <w:sz w:val="5"/>
                <w:szCs w:val="5"/>
                <w:color w:val="auto"/>
              </w:rPr>
            </w:pPr>
          </w:p>
        </w:tc>
      </w:tr>
      <w:tr>
        <w:trPr>
          <w:trHeight w:val="281"/>
        </w:trPr>
        <w:tc>
          <w:tcPr>
            <w:tcW w:w="114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1.4d</w:t>
            </w:r>
          </w:p>
        </w:tc>
        <w:tc>
          <w:tcPr>
            <w:tcW w:w="140" w:type="dxa"/>
            <w:vAlign w:val="bottom"/>
            <w:tcBorders>
              <w:right w:val="single" w:sz="8" w:color="auto"/>
            </w:tcBorders>
          </w:tcPr>
          <w:p>
            <w:pPr>
              <w:spacing w:after="0"/>
              <w:rPr>
                <w:sz w:val="24"/>
                <w:szCs w:val="24"/>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*Date of previous announcement to this update</w:t>
            </w:r>
          </w:p>
        </w:tc>
        <w:tc>
          <w:tcPr>
            <w:tcW w:w="38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30/10/2026</w:t>
            </w:r>
          </w:p>
        </w:tc>
      </w:tr>
      <w:tr>
        <w:trPr>
          <w:trHeight w:val="151"/>
        </w:trPr>
        <w:tc>
          <w:tcPr>
            <w:tcW w:w="1140" w:type="dxa"/>
            <w:vAlign w:val="bottom"/>
            <w:tcBorders>
              <w:left w:val="single" w:sz="8" w:color="auto"/>
            </w:tcBorders>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6120" w:type="dxa"/>
            <w:vAlign w:val="bottom"/>
            <w:tcBorders>
              <w:right w:val="single" w:sz="8" w:color="auto"/>
            </w:tcBorders>
          </w:tcPr>
          <w:p>
            <w:pPr>
              <w:ind w:left="60"/>
              <w:spacing w:after="0" w:line="151" w:lineRule="exact"/>
              <w:rPr>
                <w:sz w:val="20"/>
                <w:szCs w:val="20"/>
                <w:color w:val="auto"/>
              </w:rPr>
            </w:pPr>
            <w:r>
              <w:rPr>
                <w:rFonts w:ascii="Arial" w:cs="Arial" w:eastAsia="Arial" w:hAnsi="Arial"/>
                <w:sz w:val="14"/>
                <w:szCs w:val="14"/>
                <w:i w:val="1"/>
                <w:iCs w:val="1"/>
                <w:color w:val="auto"/>
              </w:rPr>
              <w:t>Answer this question if your response to Q 1.4 is “Update/amendment to previous</w:t>
            </w:r>
          </w:p>
        </w:tc>
        <w:tc>
          <w:tcPr>
            <w:tcW w:w="3860" w:type="dxa"/>
            <w:vAlign w:val="bottom"/>
            <w:tcBorders>
              <w:right w:val="single" w:sz="8" w:color="auto"/>
            </w:tcBorders>
          </w:tcPr>
          <w:p>
            <w:pPr>
              <w:spacing w:after="0"/>
              <w:rPr>
                <w:sz w:val="13"/>
                <w:szCs w:val="13"/>
                <w:color w:val="auto"/>
              </w:rPr>
            </w:pPr>
          </w:p>
        </w:tc>
      </w:tr>
      <w:tr>
        <w:trPr>
          <w:trHeight w:val="188"/>
        </w:trPr>
        <w:tc>
          <w:tcPr>
            <w:tcW w:w="1140" w:type="dxa"/>
            <w:vAlign w:val="bottom"/>
            <w:tcBorders>
              <w:left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announcement”.</w:t>
            </w:r>
          </w:p>
        </w:tc>
        <w:tc>
          <w:tcPr>
            <w:tcW w:w="3860" w:type="dxa"/>
            <w:vAlign w:val="bottom"/>
            <w:tcBorders>
              <w:right w:val="single" w:sz="8" w:color="auto"/>
            </w:tcBorders>
          </w:tcPr>
          <w:p>
            <w:pPr>
              <w:spacing w:after="0"/>
              <w:rPr>
                <w:sz w:val="16"/>
                <w:szCs w:val="16"/>
                <w:color w:val="auto"/>
              </w:rPr>
            </w:pPr>
          </w:p>
        </w:tc>
      </w:tr>
      <w:tr>
        <w:trPr>
          <w:trHeight w:val="62"/>
        </w:trPr>
        <w:tc>
          <w:tcPr>
            <w:tcW w:w="1140" w:type="dxa"/>
            <w:vAlign w:val="bottom"/>
            <w:tcBorders>
              <w:left w:val="single" w:sz="8" w:color="auto"/>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6120" w:type="dxa"/>
            <w:vAlign w:val="bottom"/>
            <w:tcBorders>
              <w:bottom w:val="single" w:sz="8" w:color="auto"/>
              <w:right w:val="single" w:sz="8" w:color="auto"/>
            </w:tcBorders>
          </w:tcPr>
          <w:p>
            <w:pPr>
              <w:spacing w:after="0"/>
              <w:rPr>
                <w:sz w:val="5"/>
                <w:szCs w:val="5"/>
                <w:color w:val="auto"/>
              </w:rPr>
            </w:pPr>
          </w:p>
        </w:tc>
        <w:tc>
          <w:tcPr>
            <w:tcW w:w="3860" w:type="dxa"/>
            <w:vAlign w:val="bottom"/>
            <w:tcBorders>
              <w:bottom w:val="single" w:sz="8" w:color="auto"/>
              <w:right w:val="single" w:sz="8" w:color="auto"/>
            </w:tcBorders>
          </w:tcPr>
          <w:p>
            <w:pPr>
              <w:spacing w:after="0"/>
              <w:rPr>
                <w:sz w:val="5"/>
                <w:szCs w:val="5"/>
                <w:color w:val="auto"/>
              </w:rPr>
            </w:pPr>
          </w:p>
        </w:tc>
      </w:tr>
      <w:tr>
        <w:trPr>
          <w:trHeight w:val="223"/>
        </w:trPr>
        <w:tc>
          <w:tcPr>
            <w:tcW w:w="114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1.5</w:t>
            </w:r>
          </w:p>
        </w:tc>
        <w:tc>
          <w:tcPr>
            <w:tcW w:w="140" w:type="dxa"/>
            <w:vAlign w:val="bottom"/>
            <w:tcBorders>
              <w:bottom w:val="single" w:sz="8" w:color="auto"/>
              <w:right w:val="single" w:sz="8" w:color="auto"/>
            </w:tcBorders>
          </w:tcPr>
          <w:p>
            <w:pPr>
              <w:spacing w:after="0"/>
              <w:rPr>
                <w:sz w:val="19"/>
                <w:szCs w:val="19"/>
                <w:color w:val="auto"/>
              </w:rPr>
            </w:pPr>
          </w:p>
        </w:tc>
        <w:tc>
          <w:tcPr>
            <w:tcW w:w="6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*Date of this announcement</w:t>
            </w:r>
          </w:p>
        </w:tc>
        <w:tc>
          <w:tcPr>
            <w:tcW w:w="38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02/11/2026</w:t>
            </w:r>
          </w:p>
        </w:tc>
      </w:tr>
      <w:tr>
        <w:trPr>
          <w:trHeight w:val="272"/>
        </w:trPr>
        <w:tc>
          <w:tcPr>
            <w:tcW w:w="114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1.6</w:t>
            </w:r>
          </w:p>
        </w:tc>
        <w:tc>
          <w:tcPr>
            <w:tcW w:w="140" w:type="dxa"/>
            <w:vAlign w:val="bottom"/>
            <w:tcBorders>
              <w:right w:val="single" w:sz="8" w:color="auto"/>
            </w:tcBorders>
          </w:tcPr>
          <w:p>
            <w:pPr>
              <w:spacing w:after="0"/>
              <w:rPr>
                <w:sz w:val="23"/>
                <w:szCs w:val="23"/>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*Class of +securities the subject of the buy-back:</w:t>
            </w:r>
          </w:p>
        </w:tc>
        <w:tc>
          <w:tcPr>
            <w:tcW w:w="38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ASX Security Code: NWSAB</w:t>
            </w:r>
          </w:p>
        </w:tc>
      </w:tr>
      <w:tr>
        <w:trPr>
          <w:trHeight w:val="181"/>
        </w:trPr>
        <w:tc>
          <w:tcPr>
            <w:tcW w:w="1140" w:type="dxa"/>
            <w:vAlign w:val="bottom"/>
            <w:tcBorders>
              <w:left w:val="single" w:sz="8" w:color="auto"/>
            </w:tcBorders>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Note: only one type of buy-back for one class of security can be advised in this notification. If</w:t>
            </w:r>
          </w:p>
        </w:tc>
        <w:tc>
          <w:tcPr>
            <w:tcW w:w="3860" w:type="dxa"/>
            <w:vAlign w:val="bottom"/>
            <w:tcBorders>
              <w:right w:val="single" w:sz="8" w:color="auto"/>
            </w:tcBorders>
          </w:tcPr>
          <w:p>
            <w:pPr>
              <w:ind w:left="60"/>
              <w:spacing w:after="0" w:line="181" w:lineRule="exact"/>
              <w:rPr>
                <w:sz w:val="20"/>
                <w:szCs w:val="20"/>
                <w:color w:val="auto"/>
              </w:rPr>
            </w:pPr>
            <w:r>
              <w:rPr>
                <w:rFonts w:ascii="Arial" w:cs="Arial" w:eastAsia="Arial" w:hAnsi="Arial"/>
                <w:sz w:val="18"/>
                <w:szCs w:val="18"/>
                <w:color w:val="auto"/>
              </w:rPr>
              <w:t>Security Description: COMMON STOCK</w:t>
            </w:r>
          </w:p>
        </w:tc>
      </w:tr>
      <w:tr>
        <w:trPr>
          <w:trHeight w:val="175"/>
        </w:trPr>
        <w:tc>
          <w:tcPr>
            <w:tcW w:w="1140" w:type="dxa"/>
            <w:vAlign w:val="bottom"/>
            <w:tcBorders>
              <w:left w:val="single" w:sz="8" w:color="auto"/>
            </w:tcBorders>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 buy-back extends to more than one class of security, a separate notification is required for</w:t>
            </w:r>
          </w:p>
        </w:tc>
        <w:tc>
          <w:tcPr>
            <w:tcW w:w="3860" w:type="dxa"/>
            <w:vAlign w:val="bottom"/>
            <w:tcBorders>
              <w:right w:val="single" w:sz="8" w:color="auto"/>
            </w:tcBorders>
          </w:tcPr>
          <w:p>
            <w:pPr>
              <w:ind w:left="60"/>
              <w:spacing w:after="0" w:line="176" w:lineRule="exact"/>
              <w:rPr>
                <w:sz w:val="20"/>
                <w:szCs w:val="20"/>
                <w:color w:val="auto"/>
              </w:rPr>
            </w:pPr>
            <w:r>
              <w:rPr>
                <w:rFonts w:ascii="Arial" w:cs="Arial" w:eastAsia="Arial" w:hAnsi="Arial"/>
                <w:sz w:val="18"/>
                <w:szCs w:val="18"/>
                <w:color w:val="auto"/>
              </w:rPr>
              <w:t>CLASS B</w:t>
            </w:r>
          </w:p>
        </w:tc>
      </w:tr>
      <w:tr>
        <w:trPr>
          <w:trHeight w:val="189"/>
        </w:trPr>
        <w:tc>
          <w:tcPr>
            <w:tcW w:w="1140" w:type="dxa"/>
            <w:vAlign w:val="bottom"/>
            <w:tcBorders>
              <w:left w:val="single" w:sz="8" w:color="auto"/>
              <w:bottom w:val="single" w:sz="8" w:color="auto"/>
            </w:tcBorders>
          </w:tcPr>
          <w:p>
            <w:pPr>
              <w:spacing w:after="0"/>
              <w:rPr>
                <w:sz w:val="16"/>
                <w:szCs w:val="16"/>
                <w:color w:val="auto"/>
              </w:rPr>
            </w:pPr>
          </w:p>
        </w:tc>
        <w:tc>
          <w:tcPr>
            <w:tcW w:w="140" w:type="dxa"/>
            <w:vAlign w:val="bottom"/>
            <w:tcBorders>
              <w:bottom w:val="single" w:sz="8" w:color="auto"/>
              <w:right w:val="single" w:sz="8" w:color="auto"/>
            </w:tcBorders>
          </w:tcPr>
          <w:p>
            <w:pPr>
              <w:spacing w:after="0"/>
              <w:rPr>
                <w:sz w:val="16"/>
                <w:szCs w:val="16"/>
                <w:color w:val="auto"/>
              </w:rPr>
            </w:pPr>
          </w:p>
        </w:tc>
        <w:tc>
          <w:tcPr>
            <w:tcW w:w="6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4"/>
                <w:szCs w:val="14"/>
                <w:i w:val="1"/>
                <w:iCs w:val="1"/>
                <w:color w:val="auto"/>
              </w:rPr>
              <w:t>each class.</w:t>
            </w:r>
          </w:p>
        </w:tc>
        <w:tc>
          <w:tcPr>
            <w:tcW w:w="3860" w:type="dxa"/>
            <w:vAlign w:val="bottom"/>
            <w:tcBorders>
              <w:bottom w:val="single" w:sz="8" w:color="auto"/>
              <w:right w:val="single" w:sz="8" w:color="auto"/>
            </w:tcBorders>
          </w:tcPr>
          <w:p>
            <w:pPr>
              <w:spacing w:after="0"/>
              <w:rPr>
                <w:sz w:val="16"/>
                <w:szCs w:val="16"/>
                <w:color w:val="auto"/>
              </w:rPr>
            </w:pPr>
          </w:p>
        </w:tc>
      </w:tr>
      <w:tr>
        <w:trPr>
          <w:trHeight w:val="831"/>
        </w:trPr>
        <w:tc>
          <w:tcPr>
            <w:tcW w:w="7400" w:type="dxa"/>
            <w:vAlign w:val="bottom"/>
            <w:tcBorders>
              <w:bottom w:val="single" w:sz="8" w:color="auto"/>
            </w:tcBorders>
            <w:gridSpan w:val="3"/>
          </w:tcPr>
          <w:p>
            <w:pPr>
              <w:spacing w:after="0"/>
              <w:rPr>
                <w:sz w:val="24"/>
                <w:szCs w:val="24"/>
                <w:color w:val="auto"/>
              </w:rPr>
            </w:pPr>
          </w:p>
        </w:tc>
        <w:tc>
          <w:tcPr>
            <w:tcW w:w="3860" w:type="dxa"/>
            <w:vAlign w:val="bottom"/>
            <w:tcBorders>
              <w:bottom w:val="single" w:sz="8" w:color="auto"/>
            </w:tcBorders>
          </w:tcPr>
          <w:p>
            <w:pPr>
              <w:spacing w:after="0"/>
              <w:rPr>
                <w:sz w:val="24"/>
                <w:szCs w:val="24"/>
                <w:color w:val="auto"/>
              </w:rPr>
            </w:pPr>
          </w:p>
        </w:tc>
      </w:tr>
      <w:tr>
        <w:trPr>
          <w:trHeight w:val="208"/>
        </w:trPr>
        <w:tc>
          <w:tcPr>
            <w:tcW w:w="7400" w:type="dxa"/>
            <w:vAlign w:val="bottom"/>
            <w:gridSpan w:val="3"/>
          </w:tcPr>
          <w:p>
            <w:pPr>
              <w:ind w:left="80"/>
              <w:spacing w:after="0"/>
              <w:rPr>
                <w:sz w:val="20"/>
                <w:szCs w:val="20"/>
                <w:color w:val="auto"/>
              </w:rPr>
            </w:pPr>
            <w:r>
              <w:rPr>
                <w:rFonts w:ascii="Arial" w:cs="Arial" w:eastAsia="Arial" w:hAnsi="Arial"/>
                <w:sz w:val="16"/>
                <w:szCs w:val="16"/>
                <w:color w:val="auto"/>
              </w:rPr>
              <w:t>+ See chapter 19 for defined terms</w:t>
            </w:r>
          </w:p>
        </w:tc>
        <w:tc>
          <w:tcPr>
            <w:tcW w:w="3860" w:type="dxa"/>
            <w:vAlign w:val="bottom"/>
          </w:tcPr>
          <w:p>
            <w:pPr>
              <w:spacing w:after="0"/>
              <w:rPr>
                <w:sz w:val="18"/>
                <w:szCs w:val="18"/>
                <w:color w:val="auto"/>
              </w:rPr>
            </w:pPr>
          </w:p>
        </w:tc>
      </w:tr>
      <w:tr>
        <w:trPr>
          <w:trHeight w:val="283"/>
        </w:trPr>
        <w:tc>
          <w:tcPr>
            <w:tcW w:w="1140" w:type="dxa"/>
            <w:vAlign w:val="bottom"/>
          </w:tcPr>
          <w:p>
            <w:pPr>
              <w:spacing w:after="0"/>
              <w:rPr>
                <w:sz w:val="20"/>
                <w:szCs w:val="20"/>
                <w:color w:val="auto"/>
              </w:rPr>
            </w:pPr>
            <w:r>
              <w:rPr>
                <w:rFonts w:ascii="Arial" w:cs="Arial" w:eastAsia="Arial" w:hAnsi="Arial"/>
                <w:sz w:val="16"/>
                <w:szCs w:val="16"/>
                <w:i w:val="1"/>
                <w:iCs w:val="1"/>
                <w:color w:val="auto"/>
              </w:rPr>
              <w:t>5 June 2021</w:t>
            </w:r>
          </w:p>
        </w:tc>
        <w:tc>
          <w:tcPr>
            <w:tcW w:w="6260" w:type="dxa"/>
            <w:vAlign w:val="bottom"/>
            <w:gridSpan w:val="2"/>
          </w:tcPr>
          <w:p>
            <w:pPr>
              <w:ind w:left="120"/>
              <w:spacing w:after="0"/>
              <w:rPr>
                <w:sz w:val="20"/>
                <w:szCs w:val="20"/>
                <w:color w:val="auto"/>
              </w:rPr>
            </w:pPr>
            <w:r>
              <w:rPr>
                <w:rFonts w:ascii="Arial" w:cs="Arial" w:eastAsia="Arial" w:hAnsi="Arial"/>
                <w:sz w:val="16"/>
                <w:szCs w:val="16"/>
                <w:color w:val="auto"/>
              </w:rPr>
              <w:t>Page 1</w:t>
            </w:r>
          </w:p>
        </w:tc>
        <w:tc>
          <w:tcPr>
            <w:tcW w:w="3860" w:type="dxa"/>
            <w:vAlign w:val="bottom"/>
          </w:tcPr>
          <w:p>
            <w:pPr>
              <w:spacing w:after="0"/>
              <w:rPr>
                <w:sz w:val="24"/>
                <w:szCs w:val="24"/>
                <w:color w:val="auto"/>
              </w:rPr>
            </w:pPr>
          </w:p>
        </w:tc>
      </w:tr>
    </w:tbl>
    <w:p>
      <w:pPr>
        <w:sectPr>
          <w:pgSz w:w="11900" w:h="16838" w:orient="portrait"/>
          <w:cols w:equalWidth="0" w:num="1">
            <w:col w:w="11260"/>
          </w:cols>
          <w:pgMar w:left="320" w:top="163" w:right="319" w:bottom="1440" w:gutter="0" w:footer="0" w:header="0"/>
        </w:sectPr>
      </w:pPr>
    </w:p>
    <w:bookmarkStart w:id="8" w:name="page9"/>
    <w:bookmarkEnd w:id="8"/>
    <w:p>
      <w:pPr>
        <w:ind w:left="440"/>
        <w:spacing w:after="0"/>
        <w:rPr>
          <w:sz w:val="20"/>
          <w:szCs w:val="20"/>
          <w:color w:val="auto"/>
        </w:rPr>
      </w:pPr>
      <w:r>
        <w:rPr>
          <w:rFonts w:ascii="Arial" w:cs="Arial" w:eastAsia="Arial" w:hAnsi="Arial"/>
          <w:sz w:val="18"/>
          <w:szCs w:val="18"/>
          <w:b w:val="1"/>
          <w:bCs w:val="1"/>
          <w:color w:val="auto"/>
        </w:rPr>
        <w:t>Appendix 3C</w:t>
      </w:r>
    </w:p>
    <w:p>
      <w:pPr>
        <w:spacing w:after="0" w:line="14"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Notification of buy-back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25"/>
          <w:szCs w:val="25"/>
          <w:color w:val="auto"/>
        </w:rPr>
        <w:t>Part 2 –Type of buy-back</w:t>
      </w:r>
    </w:p>
    <w:p>
      <w:pPr>
        <w:spacing w:after="0" w:line="134"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124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b w:val="1"/>
                <w:bCs w:val="1"/>
                <w:color w:val="auto"/>
              </w:rPr>
              <w:t>Question No.</w:t>
            </w:r>
          </w:p>
        </w:tc>
        <w:tc>
          <w:tcPr>
            <w:tcW w:w="612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Question</w:t>
            </w:r>
          </w:p>
        </w:tc>
        <w:tc>
          <w:tcPr>
            <w:tcW w:w="390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Answer</w:t>
            </w:r>
          </w:p>
        </w:tc>
        <w:tc>
          <w:tcPr>
            <w:tcW w:w="0" w:type="dxa"/>
            <w:vAlign w:val="bottom"/>
          </w:tcPr>
          <w:p>
            <w:pPr>
              <w:spacing w:after="0"/>
              <w:rPr>
                <w:sz w:val="1"/>
                <w:szCs w:val="1"/>
                <w:color w:val="auto"/>
              </w:rPr>
            </w:pPr>
          </w:p>
        </w:tc>
      </w:tr>
      <w:tr>
        <w:trPr>
          <w:trHeight w:val="232"/>
        </w:trPr>
        <w:tc>
          <w:tcPr>
            <w:tcW w:w="12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2.1</w:t>
            </w: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*The type of buy-back is</w:t>
            </w:r>
          </w:p>
        </w:tc>
        <w:tc>
          <w:tcPr>
            <w:tcW w:w="3900" w:type="dxa"/>
            <w:vAlign w:val="bottom"/>
            <w:tcBorders>
              <w:right w:val="single" w:sz="8" w:color="auto"/>
            </w:tcBorders>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Employee share scheme buy-back</w:t>
            </w:r>
          </w:p>
        </w:tc>
        <w:tc>
          <w:tcPr>
            <w:tcW w:w="0" w:type="dxa"/>
            <w:vAlign w:val="bottom"/>
          </w:tcPr>
          <w:p>
            <w:pPr>
              <w:spacing w:after="0"/>
              <w:rPr>
                <w:sz w:val="1"/>
                <w:szCs w:val="1"/>
                <w:color w:val="auto"/>
              </w:rPr>
            </w:pPr>
          </w:p>
        </w:tc>
      </w:tr>
      <w:tr>
        <w:trPr>
          <w:trHeight w:val="229"/>
        </w:trPr>
        <w:tc>
          <w:tcPr>
            <w:tcW w:w="1240" w:type="dxa"/>
            <w:vAlign w:val="bottom"/>
            <w:tcBorders>
              <w:left w:val="single" w:sz="8" w:color="auto"/>
              <w:right w:val="single" w:sz="8" w:color="auto"/>
            </w:tcBorders>
          </w:tcPr>
          <w:p>
            <w:pPr>
              <w:spacing w:after="0"/>
              <w:rPr>
                <w:sz w:val="19"/>
                <w:szCs w:val="19"/>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Note this form is not required for minimum holding buy-backs (i.e. buy-backs of unmarketable</w:t>
            </w:r>
          </w:p>
        </w:tc>
        <w:tc>
          <w:tcPr>
            <w:tcW w:w="3900" w:type="dxa"/>
            <w:vAlign w:val="bottom"/>
            <w:tcBorders>
              <w:right w:val="single" w:sz="8" w:color="auto"/>
            </w:tcBorders>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On-market buy-back</w:t>
            </w:r>
          </w:p>
        </w:tc>
        <w:tc>
          <w:tcPr>
            <w:tcW w:w="0" w:type="dxa"/>
            <w:vAlign w:val="bottom"/>
          </w:tcPr>
          <w:p>
            <w:pPr>
              <w:spacing w:after="0"/>
              <w:rPr>
                <w:sz w:val="1"/>
                <w:szCs w:val="1"/>
                <w:color w:val="auto"/>
              </w:rPr>
            </w:pPr>
          </w:p>
        </w:tc>
      </w:tr>
      <w:tr>
        <w:trPr>
          <w:trHeight w:val="187"/>
        </w:trPr>
        <w:tc>
          <w:tcPr>
            <w:tcW w:w="1240" w:type="dxa"/>
            <w:vAlign w:val="bottom"/>
            <w:tcBorders>
              <w:left w:val="single" w:sz="8" w:color="auto"/>
              <w:right w:val="single" w:sz="8" w:color="auto"/>
            </w:tcBorders>
          </w:tcPr>
          <w:p>
            <w:pPr>
              <w:spacing w:after="0"/>
              <w:rPr>
                <w:sz w:val="16"/>
                <w:szCs w:val="16"/>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parcels). The only notification required to ASX for a minimum holding buy-back is the</w:t>
            </w:r>
          </w:p>
        </w:tc>
        <w:tc>
          <w:tcPr>
            <w:tcW w:w="3900" w:type="dxa"/>
            <w:vAlign w:val="bottom"/>
            <w:tcBorders>
              <w:right w:val="single" w:sz="8" w:color="auto"/>
            </w:tcBorders>
            <w:vMerge w:val="restart"/>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Equal access scheme buy-back</w:t>
            </w:r>
          </w:p>
        </w:tc>
        <w:tc>
          <w:tcPr>
            <w:tcW w:w="0" w:type="dxa"/>
            <w:vAlign w:val="bottom"/>
          </w:tcPr>
          <w:p>
            <w:pPr>
              <w:spacing w:after="0"/>
              <w:rPr>
                <w:sz w:val="1"/>
                <w:szCs w:val="1"/>
                <w:color w:val="auto"/>
              </w:rPr>
            </w:pPr>
          </w:p>
        </w:tc>
      </w:tr>
      <w:tr>
        <w:trPr>
          <w:trHeight w:val="56"/>
        </w:trPr>
        <w:tc>
          <w:tcPr>
            <w:tcW w:w="1240" w:type="dxa"/>
            <w:vAlign w:val="bottom"/>
            <w:tcBorders>
              <w:left w:val="single" w:sz="8" w:color="auto"/>
              <w:right w:val="single" w:sz="8" w:color="auto"/>
            </w:tcBorders>
          </w:tcPr>
          <w:p>
            <w:pPr>
              <w:spacing w:after="0"/>
              <w:rPr>
                <w:sz w:val="4"/>
                <w:szCs w:val="4"/>
                <w:color w:val="auto"/>
              </w:rPr>
            </w:pPr>
          </w:p>
        </w:tc>
        <w:tc>
          <w:tcPr>
            <w:tcW w:w="6120" w:type="dxa"/>
            <w:vAlign w:val="bottom"/>
            <w:tcBorders>
              <w:right w:val="single" w:sz="8" w:color="auto"/>
            </w:tcBorders>
            <w:vMerge w:val="restart"/>
          </w:tcPr>
          <w:p>
            <w:pPr>
              <w:ind w:left="60"/>
              <w:spacing w:after="0"/>
              <w:rPr>
                <w:sz w:val="20"/>
                <w:szCs w:val="20"/>
                <w:color w:val="auto"/>
              </w:rPr>
            </w:pPr>
            <w:r>
              <w:rPr>
                <w:rFonts w:ascii="Arial" w:cs="Arial" w:eastAsia="Arial" w:hAnsi="Arial"/>
                <w:sz w:val="14"/>
                <w:szCs w:val="14"/>
                <w:i w:val="1"/>
                <w:iCs w:val="1"/>
                <w:color w:val="auto"/>
              </w:rPr>
              <w:t>lodgement of an Appendix 3H within 5 business days of the completion of the minimum</w:t>
            </w:r>
          </w:p>
        </w:tc>
        <w:tc>
          <w:tcPr>
            <w:tcW w:w="390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6"/>
        </w:trPr>
        <w:tc>
          <w:tcPr>
            <w:tcW w:w="1240" w:type="dxa"/>
            <w:vAlign w:val="bottom"/>
            <w:tcBorders>
              <w:left w:val="single" w:sz="8" w:color="auto"/>
              <w:right w:val="single" w:sz="8" w:color="auto"/>
            </w:tcBorders>
          </w:tcPr>
          <w:p>
            <w:pPr>
              <w:spacing w:after="0"/>
              <w:rPr>
                <w:sz w:val="9"/>
                <w:szCs w:val="9"/>
                <w:color w:val="auto"/>
              </w:rPr>
            </w:pPr>
          </w:p>
        </w:tc>
        <w:tc>
          <w:tcPr>
            <w:tcW w:w="6120" w:type="dxa"/>
            <w:vAlign w:val="bottom"/>
            <w:tcBorders>
              <w:right w:val="single" w:sz="8" w:color="auto"/>
            </w:tcBorders>
            <w:vMerge w:val="continue"/>
          </w:tcPr>
          <w:p>
            <w:pPr>
              <w:spacing w:after="0"/>
              <w:rPr>
                <w:sz w:val="9"/>
                <w:szCs w:val="9"/>
                <w:color w:val="auto"/>
              </w:rPr>
            </w:pPr>
          </w:p>
        </w:tc>
        <w:tc>
          <w:tcPr>
            <w:tcW w:w="3900" w:type="dxa"/>
            <w:vAlign w:val="bottom"/>
            <w:tcBorders>
              <w:right w:val="single" w:sz="8" w:color="auto"/>
            </w:tcBorders>
            <w:vMerge w:val="restart"/>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Selective buy-back</w:t>
            </w:r>
          </w:p>
        </w:tc>
        <w:tc>
          <w:tcPr>
            <w:tcW w:w="0" w:type="dxa"/>
            <w:vAlign w:val="bottom"/>
          </w:tcPr>
          <w:p>
            <w:pPr>
              <w:spacing w:after="0"/>
              <w:rPr>
                <w:sz w:val="1"/>
                <w:szCs w:val="1"/>
                <w:color w:val="auto"/>
              </w:rPr>
            </w:pPr>
          </w:p>
        </w:tc>
      </w:tr>
      <w:tr>
        <w:trPr>
          <w:trHeight w:val="142"/>
        </w:trPr>
        <w:tc>
          <w:tcPr>
            <w:tcW w:w="1240" w:type="dxa"/>
            <w:vAlign w:val="bottom"/>
            <w:tcBorders>
              <w:left w:val="single" w:sz="8" w:color="auto"/>
              <w:right w:val="single" w:sz="8" w:color="auto"/>
            </w:tcBorders>
          </w:tcPr>
          <w:p>
            <w:pPr>
              <w:spacing w:after="0"/>
              <w:rPr>
                <w:sz w:val="12"/>
                <w:szCs w:val="12"/>
                <w:color w:val="auto"/>
              </w:rPr>
            </w:pPr>
          </w:p>
        </w:tc>
        <w:tc>
          <w:tcPr>
            <w:tcW w:w="6120" w:type="dxa"/>
            <w:vAlign w:val="bottom"/>
            <w:tcBorders>
              <w:right w:val="single" w:sz="8" w:color="auto"/>
            </w:tcBorders>
          </w:tcPr>
          <w:p>
            <w:pPr>
              <w:ind w:left="60"/>
              <w:spacing w:after="0" w:line="143" w:lineRule="exact"/>
              <w:rPr>
                <w:sz w:val="20"/>
                <w:szCs w:val="20"/>
                <w:color w:val="auto"/>
              </w:rPr>
            </w:pPr>
            <w:r>
              <w:rPr>
                <w:rFonts w:ascii="Arial" w:cs="Arial" w:eastAsia="Arial" w:hAnsi="Arial"/>
                <w:sz w:val="14"/>
                <w:szCs w:val="14"/>
                <w:i w:val="1"/>
                <w:iCs w:val="1"/>
                <w:color w:val="auto"/>
              </w:rPr>
              <w:t>holding buy-back notifying ASX of the cancellation of the securities bought back in</w:t>
            </w:r>
          </w:p>
        </w:tc>
        <w:tc>
          <w:tcPr>
            <w:tcW w:w="390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63"/>
        </w:trPr>
        <w:tc>
          <w:tcPr>
            <w:tcW w:w="1240" w:type="dxa"/>
            <w:vAlign w:val="bottom"/>
            <w:tcBorders>
              <w:left w:val="single" w:sz="8" w:color="auto"/>
              <w:right w:val="single" w:sz="8" w:color="auto"/>
            </w:tcBorders>
          </w:tcPr>
          <w:p>
            <w:pPr>
              <w:spacing w:after="0"/>
              <w:rPr>
                <w:sz w:val="22"/>
                <w:szCs w:val="22"/>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accordance with listing rule 3.8A.</w:t>
            </w:r>
          </w:p>
        </w:tc>
        <w:tc>
          <w:tcPr>
            <w:tcW w:w="3900" w:type="dxa"/>
            <w:vAlign w:val="bottom"/>
            <w:tcBorders>
              <w:right w:val="single" w:sz="8" w:color="auto"/>
            </w:tcBorders>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Other buy-back</w:t>
            </w:r>
          </w:p>
        </w:tc>
        <w:tc>
          <w:tcPr>
            <w:tcW w:w="0" w:type="dxa"/>
            <w:vAlign w:val="bottom"/>
          </w:tcPr>
          <w:p>
            <w:pPr>
              <w:spacing w:after="0"/>
              <w:rPr>
                <w:sz w:val="1"/>
                <w:szCs w:val="1"/>
                <w:color w:val="auto"/>
              </w:rPr>
            </w:pPr>
          </w:p>
        </w:tc>
      </w:tr>
      <w:tr>
        <w:trPr>
          <w:trHeight w:val="188"/>
        </w:trPr>
        <w:tc>
          <w:tcPr>
            <w:tcW w:w="1240" w:type="dxa"/>
            <w:vAlign w:val="bottom"/>
            <w:tcBorders>
              <w:left w:val="single" w:sz="8" w:color="auto"/>
              <w:right w:val="single" w:sz="8" w:color="auto"/>
            </w:tcBorders>
          </w:tcPr>
          <w:p>
            <w:pPr>
              <w:spacing w:after="0"/>
              <w:rPr>
                <w:sz w:val="16"/>
                <w:szCs w:val="16"/>
                <w:color w:val="auto"/>
              </w:rPr>
            </w:pPr>
          </w:p>
        </w:tc>
        <w:tc>
          <w:tcPr>
            <w:tcW w:w="6120" w:type="dxa"/>
            <w:vAlign w:val="bottom"/>
            <w:tcBorders>
              <w:right w:val="single" w:sz="8" w:color="auto"/>
            </w:tcBorders>
          </w:tcPr>
          <w:p>
            <w:pPr>
              <w:spacing w:after="0"/>
              <w:rPr>
                <w:sz w:val="16"/>
                <w:szCs w:val="16"/>
                <w:color w:val="auto"/>
              </w:rPr>
            </w:pPr>
          </w:p>
        </w:tc>
        <w:tc>
          <w:tcPr>
            <w:tcW w:w="39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Select one item.</w:t>
            </w:r>
          </w:p>
        </w:tc>
        <w:tc>
          <w:tcPr>
            <w:tcW w:w="0" w:type="dxa"/>
            <w:vAlign w:val="bottom"/>
          </w:tcPr>
          <w:p>
            <w:pPr>
              <w:spacing w:after="0"/>
              <w:rPr>
                <w:sz w:val="1"/>
                <w:szCs w:val="1"/>
                <w:color w:val="auto"/>
              </w:rPr>
            </w:pPr>
          </w:p>
        </w:tc>
      </w:tr>
      <w:tr>
        <w:trPr>
          <w:trHeight w:val="163"/>
        </w:trPr>
        <w:tc>
          <w:tcPr>
            <w:tcW w:w="1240" w:type="dxa"/>
            <w:vAlign w:val="bottom"/>
            <w:tcBorders>
              <w:left w:val="single" w:sz="8" w:color="auto"/>
              <w:right w:val="single" w:sz="8" w:color="auto"/>
            </w:tcBorders>
          </w:tcPr>
          <w:p>
            <w:pPr>
              <w:spacing w:after="0"/>
              <w:rPr>
                <w:sz w:val="14"/>
                <w:szCs w:val="14"/>
                <w:color w:val="auto"/>
              </w:rPr>
            </w:pPr>
          </w:p>
        </w:tc>
        <w:tc>
          <w:tcPr>
            <w:tcW w:w="6120" w:type="dxa"/>
            <w:vAlign w:val="bottom"/>
            <w:tcBorders>
              <w:right w:val="single" w:sz="8" w:color="auto"/>
            </w:tcBorders>
          </w:tcPr>
          <w:p>
            <w:pPr>
              <w:spacing w:after="0"/>
              <w:rPr>
                <w:sz w:val="14"/>
                <w:szCs w:val="14"/>
                <w:color w:val="auto"/>
              </w:rPr>
            </w:pPr>
          </w:p>
        </w:tc>
        <w:tc>
          <w:tcPr>
            <w:tcW w:w="39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Note: “Other buy-back” does not include a minimum</w:t>
            </w:r>
          </w:p>
        </w:tc>
        <w:tc>
          <w:tcPr>
            <w:tcW w:w="0" w:type="dxa"/>
            <w:vAlign w:val="bottom"/>
          </w:tcPr>
          <w:p>
            <w:pPr>
              <w:spacing w:after="0"/>
              <w:rPr>
                <w:sz w:val="1"/>
                <w:szCs w:val="1"/>
                <w:color w:val="auto"/>
              </w:rPr>
            </w:pPr>
          </w:p>
        </w:tc>
      </w:tr>
      <w:tr>
        <w:trPr>
          <w:trHeight w:val="142"/>
        </w:trPr>
        <w:tc>
          <w:tcPr>
            <w:tcW w:w="1240" w:type="dxa"/>
            <w:vAlign w:val="bottom"/>
            <w:tcBorders>
              <w:left w:val="single" w:sz="8" w:color="auto"/>
              <w:right w:val="single" w:sz="8" w:color="auto"/>
            </w:tcBorders>
          </w:tcPr>
          <w:p>
            <w:pPr>
              <w:spacing w:after="0"/>
              <w:rPr>
                <w:sz w:val="12"/>
                <w:szCs w:val="12"/>
                <w:color w:val="auto"/>
              </w:rPr>
            </w:pPr>
          </w:p>
        </w:tc>
        <w:tc>
          <w:tcPr>
            <w:tcW w:w="6120" w:type="dxa"/>
            <w:vAlign w:val="bottom"/>
            <w:tcBorders>
              <w:right w:val="single" w:sz="8" w:color="auto"/>
            </w:tcBorders>
          </w:tcPr>
          <w:p>
            <w:pPr>
              <w:spacing w:after="0"/>
              <w:rPr>
                <w:sz w:val="12"/>
                <w:szCs w:val="12"/>
                <w:color w:val="auto"/>
              </w:rPr>
            </w:pPr>
          </w:p>
        </w:tc>
        <w:tc>
          <w:tcPr>
            <w:tcW w:w="3900" w:type="dxa"/>
            <w:vAlign w:val="bottom"/>
            <w:tcBorders>
              <w:right w:val="single" w:sz="8" w:color="auto"/>
            </w:tcBorders>
          </w:tcPr>
          <w:p>
            <w:pPr>
              <w:ind w:left="60"/>
              <w:spacing w:after="0" w:line="143" w:lineRule="exact"/>
              <w:rPr>
                <w:sz w:val="20"/>
                <w:szCs w:val="20"/>
                <w:color w:val="auto"/>
              </w:rPr>
            </w:pPr>
            <w:r>
              <w:rPr>
                <w:rFonts w:ascii="Arial" w:cs="Arial" w:eastAsia="Arial" w:hAnsi="Arial"/>
                <w:sz w:val="14"/>
                <w:szCs w:val="14"/>
                <w:i w:val="1"/>
                <w:iCs w:val="1"/>
                <w:color w:val="auto"/>
              </w:rPr>
              <w:t>holding buy-back. The section “Other buy-back” will</w:t>
            </w:r>
          </w:p>
        </w:tc>
        <w:tc>
          <w:tcPr>
            <w:tcW w:w="0" w:type="dxa"/>
            <w:vAlign w:val="bottom"/>
          </w:tcPr>
          <w:p>
            <w:pPr>
              <w:spacing w:after="0"/>
              <w:rPr>
                <w:sz w:val="1"/>
                <w:szCs w:val="1"/>
                <w:color w:val="auto"/>
              </w:rPr>
            </w:pPr>
          </w:p>
        </w:tc>
      </w:tr>
      <w:tr>
        <w:trPr>
          <w:trHeight w:val="141"/>
        </w:trPr>
        <w:tc>
          <w:tcPr>
            <w:tcW w:w="1240" w:type="dxa"/>
            <w:vAlign w:val="bottom"/>
            <w:tcBorders>
              <w:left w:val="single" w:sz="8" w:color="auto"/>
              <w:right w:val="single" w:sz="8" w:color="auto"/>
            </w:tcBorders>
          </w:tcPr>
          <w:p>
            <w:pPr>
              <w:spacing w:after="0"/>
              <w:rPr>
                <w:sz w:val="12"/>
                <w:szCs w:val="12"/>
                <w:color w:val="auto"/>
              </w:rPr>
            </w:pPr>
          </w:p>
        </w:tc>
        <w:tc>
          <w:tcPr>
            <w:tcW w:w="6120" w:type="dxa"/>
            <w:vAlign w:val="bottom"/>
            <w:tcBorders>
              <w:right w:val="single" w:sz="8" w:color="auto"/>
            </w:tcBorders>
          </w:tcPr>
          <w:p>
            <w:pPr>
              <w:spacing w:after="0"/>
              <w:rPr>
                <w:sz w:val="12"/>
                <w:szCs w:val="12"/>
                <w:color w:val="auto"/>
              </w:rPr>
            </w:pPr>
          </w:p>
        </w:tc>
        <w:tc>
          <w:tcPr>
            <w:tcW w:w="3900" w:type="dxa"/>
            <w:vAlign w:val="bottom"/>
            <w:tcBorders>
              <w:right w:val="single" w:sz="8" w:color="auto"/>
            </w:tcBorders>
          </w:tcPr>
          <w:p>
            <w:pPr>
              <w:ind w:left="60"/>
              <w:spacing w:after="0" w:line="141" w:lineRule="exact"/>
              <w:rPr>
                <w:sz w:val="20"/>
                <w:szCs w:val="20"/>
                <w:color w:val="auto"/>
              </w:rPr>
            </w:pPr>
            <w:r>
              <w:rPr>
                <w:rFonts w:ascii="Arial" w:cs="Arial" w:eastAsia="Arial" w:hAnsi="Arial"/>
                <w:sz w:val="14"/>
                <w:szCs w:val="14"/>
                <w:i w:val="1"/>
                <w:iCs w:val="1"/>
                <w:color w:val="auto"/>
              </w:rPr>
              <w:t>generally only be applicable to an entity established</w:t>
            </w:r>
          </w:p>
        </w:tc>
        <w:tc>
          <w:tcPr>
            <w:tcW w:w="0" w:type="dxa"/>
            <w:vAlign w:val="bottom"/>
          </w:tcPr>
          <w:p>
            <w:pPr>
              <w:spacing w:after="0"/>
              <w:rPr>
                <w:sz w:val="1"/>
                <w:szCs w:val="1"/>
                <w:color w:val="auto"/>
              </w:rPr>
            </w:pPr>
          </w:p>
        </w:tc>
      </w:tr>
      <w:tr>
        <w:trPr>
          <w:trHeight w:val="188"/>
        </w:trPr>
        <w:tc>
          <w:tcPr>
            <w:tcW w:w="1240" w:type="dxa"/>
            <w:vAlign w:val="bottom"/>
            <w:tcBorders>
              <w:left w:val="single" w:sz="8" w:color="auto"/>
              <w:right w:val="single" w:sz="8" w:color="auto"/>
            </w:tcBorders>
          </w:tcPr>
          <w:p>
            <w:pPr>
              <w:spacing w:after="0"/>
              <w:rPr>
                <w:sz w:val="16"/>
                <w:szCs w:val="16"/>
                <w:color w:val="auto"/>
              </w:rPr>
            </w:pPr>
          </w:p>
        </w:tc>
        <w:tc>
          <w:tcPr>
            <w:tcW w:w="6120" w:type="dxa"/>
            <w:vAlign w:val="bottom"/>
            <w:tcBorders>
              <w:right w:val="single" w:sz="8" w:color="auto"/>
            </w:tcBorders>
          </w:tcPr>
          <w:p>
            <w:pPr>
              <w:spacing w:after="0"/>
              <w:rPr>
                <w:sz w:val="16"/>
                <w:szCs w:val="16"/>
                <w:color w:val="auto"/>
              </w:rPr>
            </w:pPr>
          </w:p>
        </w:tc>
        <w:tc>
          <w:tcPr>
            <w:tcW w:w="39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outside Australia.</w:t>
            </w:r>
          </w:p>
        </w:tc>
        <w:tc>
          <w:tcPr>
            <w:tcW w:w="0" w:type="dxa"/>
            <w:vAlign w:val="bottom"/>
          </w:tcPr>
          <w:p>
            <w:pPr>
              <w:spacing w:after="0"/>
              <w:rPr>
                <w:sz w:val="1"/>
                <w:szCs w:val="1"/>
                <w:color w:val="auto"/>
              </w:rPr>
            </w:pPr>
          </w:p>
        </w:tc>
      </w:tr>
      <w:tr>
        <w:trPr>
          <w:trHeight w:val="62"/>
        </w:trPr>
        <w:tc>
          <w:tcPr>
            <w:tcW w:w="1240" w:type="dxa"/>
            <w:vAlign w:val="bottom"/>
            <w:tcBorders>
              <w:left w:val="single" w:sz="8" w:color="auto"/>
              <w:bottom w:val="single" w:sz="8" w:color="auto"/>
              <w:right w:val="single" w:sz="8" w:color="auto"/>
            </w:tcBorders>
          </w:tcPr>
          <w:p>
            <w:pPr>
              <w:spacing w:after="0"/>
              <w:rPr>
                <w:sz w:val="5"/>
                <w:szCs w:val="5"/>
                <w:color w:val="auto"/>
              </w:rPr>
            </w:pPr>
          </w:p>
        </w:tc>
        <w:tc>
          <w:tcPr>
            <w:tcW w:w="6120" w:type="dxa"/>
            <w:vAlign w:val="bottom"/>
            <w:tcBorders>
              <w:bottom w:val="single" w:sz="8" w:color="auto"/>
              <w:right w:val="single" w:sz="8" w:color="auto"/>
            </w:tcBorders>
          </w:tcPr>
          <w:p>
            <w:pPr>
              <w:spacing w:after="0"/>
              <w:rPr>
                <w:sz w:val="5"/>
                <w:szCs w:val="5"/>
                <w:color w:val="auto"/>
              </w:rPr>
            </w:pPr>
          </w:p>
        </w:tc>
        <w:tc>
          <w:tcPr>
            <w:tcW w:w="39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12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2.2</w:t>
            </w: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Please describe the type of buy-back</w:t>
            </w:r>
          </w:p>
        </w:tc>
        <w:tc>
          <w:tcPr>
            <w:tcW w:w="39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Repurchase program for up to an aggregate of</w:t>
            </w:r>
          </w:p>
        </w:tc>
        <w:tc>
          <w:tcPr>
            <w:tcW w:w="0" w:type="dxa"/>
            <w:vAlign w:val="bottom"/>
          </w:tcPr>
          <w:p>
            <w:pPr>
              <w:spacing w:after="0"/>
              <w:rPr>
                <w:sz w:val="1"/>
                <w:szCs w:val="1"/>
                <w:color w:val="auto"/>
              </w:rPr>
            </w:pPr>
          </w:p>
        </w:tc>
      </w:tr>
      <w:tr>
        <w:trPr>
          <w:trHeight w:val="122"/>
        </w:trPr>
        <w:tc>
          <w:tcPr>
            <w:tcW w:w="1240" w:type="dxa"/>
            <w:vAlign w:val="bottom"/>
            <w:tcBorders>
              <w:left w:val="single" w:sz="8" w:color="auto"/>
              <w:right w:val="single" w:sz="8" w:color="auto"/>
            </w:tcBorders>
          </w:tcPr>
          <w:p>
            <w:pPr>
              <w:spacing w:after="0"/>
              <w:rPr>
                <w:sz w:val="10"/>
                <w:szCs w:val="10"/>
                <w:color w:val="auto"/>
              </w:rPr>
            </w:pPr>
          </w:p>
        </w:tc>
        <w:tc>
          <w:tcPr>
            <w:tcW w:w="6120" w:type="dxa"/>
            <w:vAlign w:val="bottom"/>
            <w:tcBorders>
              <w:right w:val="single" w:sz="8" w:color="auto"/>
            </w:tcBorders>
            <w:vMerge w:val="restart"/>
          </w:tcPr>
          <w:p>
            <w:pPr>
              <w:ind w:left="60"/>
              <w:spacing w:after="0"/>
              <w:rPr>
                <w:sz w:val="20"/>
                <w:szCs w:val="20"/>
                <w:color w:val="auto"/>
              </w:rPr>
            </w:pPr>
            <w:r>
              <w:rPr>
                <w:rFonts w:ascii="Arial" w:cs="Arial" w:eastAsia="Arial" w:hAnsi="Arial"/>
                <w:sz w:val="14"/>
                <w:szCs w:val="14"/>
                <w:i w:val="1"/>
                <w:iCs w:val="1"/>
                <w:color w:val="auto"/>
              </w:rPr>
              <w:t>Answer this question if your response to Q 2.1 is “Other buy-back”.</w:t>
            </w:r>
          </w:p>
        </w:tc>
        <w:tc>
          <w:tcPr>
            <w:tcW w:w="3900" w:type="dxa"/>
            <w:vAlign w:val="bottom"/>
            <w:tcBorders>
              <w:right w:val="single" w:sz="8" w:color="auto"/>
            </w:tcBorders>
          </w:tcPr>
          <w:p>
            <w:pPr>
              <w:ind w:left="60"/>
              <w:spacing w:after="0" w:line="122" w:lineRule="exact"/>
              <w:rPr>
                <w:sz w:val="20"/>
                <w:szCs w:val="20"/>
                <w:color w:val="auto"/>
              </w:rPr>
            </w:pPr>
            <w:r>
              <w:rPr>
                <w:rFonts w:ascii="Arial" w:cs="Arial" w:eastAsia="Arial" w:hAnsi="Arial"/>
                <w:sz w:val="13"/>
                <w:szCs w:val="13"/>
                <w:color w:val="auto"/>
              </w:rPr>
              <w:t>US$1 billion of the Company’s Nasdaq-listed</w:t>
            </w:r>
          </w:p>
        </w:tc>
        <w:tc>
          <w:tcPr>
            <w:tcW w:w="0" w:type="dxa"/>
            <w:vAlign w:val="bottom"/>
          </w:tcPr>
          <w:p>
            <w:pPr>
              <w:spacing w:after="0"/>
              <w:rPr>
                <w:sz w:val="1"/>
                <w:szCs w:val="1"/>
                <w:color w:val="auto"/>
              </w:rPr>
            </w:pPr>
          </w:p>
        </w:tc>
      </w:tr>
      <w:tr>
        <w:trPr>
          <w:trHeight w:val="127"/>
        </w:trPr>
        <w:tc>
          <w:tcPr>
            <w:tcW w:w="1240" w:type="dxa"/>
            <w:vAlign w:val="bottom"/>
            <w:tcBorders>
              <w:left w:val="single" w:sz="8" w:color="auto"/>
              <w:right w:val="single" w:sz="8" w:color="auto"/>
            </w:tcBorders>
          </w:tcPr>
          <w:p>
            <w:pPr>
              <w:spacing w:after="0"/>
              <w:rPr>
                <w:sz w:val="11"/>
                <w:szCs w:val="11"/>
                <w:color w:val="auto"/>
              </w:rPr>
            </w:pPr>
          </w:p>
        </w:tc>
        <w:tc>
          <w:tcPr>
            <w:tcW w:w="6120" w:type="dxa"/>
            <w:vAlign w:val="bottom"/>
            <w:tcBorders>
              <w:right w:val="single" w:sz="8" w:color="auto"/>
            </w:tcBorders>
            <w:vMerge w:val="continue"/>
          </w:tcPr>
          <w:p>
            <w:pPr>
              <w:spacing w:after="0"/>
              <w:rPr>
                <w:sz w:val="11"/>
                <w:szCs w:val="11"/>
                <w:color w:val="auto"/>
              </w:rPr>
            </w:pPr>
          </w:p>
        </w:tc>
        <w:tc>
          <w:tcPr>
            <w:tcW w:w="3900" w:type="dxa"/>
            <w:vAlign w:val="bottom"/>
            <w:tcBorders>
              <w:right w:val="single" w:sz="8" w:color="auto"/>
            </w:tcBorders>
            <w:vMerge w:val="restart"/>
          </w:tcPr>
          <w:p>
            <w:pPr>
              <w:ind w:left="60"/>
              <w:spacing w:after="0" w:line="183" w:lineRule="exact"/>
              <w:rPr>
                <w:sz w:val="20"/>
                <w:szCs w:val="20"/>
                <w:color w:val="auto"/>
              </w:rPr>
            </w:pPr>
            <w:r>
              <w:rPr>
                <w:rFonts w:ascii="Arial" w:cs="Arial" w:eastAsia="Arial" w:hAnsi="Arial"/>
                <w:sz w:val="18"/>
                <w:szCs w:val="18"/>
                <w:color w:val="auto"/>
              </w:rPr>
              <w:t>Class A common stock and Class B common</w:t>
            </w:r>
          </w:p>
        </w:tc>
        <w:tc>
          <w:tcPr>
            <w:tcW w:w="0" w:type="dxa"/>
            <w:vAlign w:val="bottom"/>
          </w:tcPr>
          <w:p>
            <w:pPr>
              <w:spacing w:after="0"/>
              <w:rPr>
                <w:sz w:val="1"/>
                <w:szCs w:val="1"/>
                <w:color w:val="auto"/>
              </w:rPr>
            </w:pPr>
          </w:p>
        </w:tc>
      </w:tr>
      <w:tr>
        <w:trPr>
          <w:trHeight w:val="57"/>
        </w:trPr>
        <w:tc>
          <w:tcPr>
            <w:tcW w:w="1240" w:type="dxa"/>
            <w:vAlign w:val="bottom"/>
            <w:tcBorders>
              <w:left w:val="single" w:sz="8" w:color="auto"/>
              <w:right w:val="single" w:sz="8" w:color="auto"/>
            </w:tcBorders>
          </w:tcPr>
          <w:p>
            <w:pPr>
              <w:spacing w:after="0"/>
              <w:rPr>
                <w:sz w:val="4"/>
                <w:szCs w:val="4"/>
                <w:color w:val="auto"/>
              </w:rPr>
            </w:pPr>
          </w:p>
        </w:tc>
        <w:tc>
          <w:tcPr>
            <w:tcW w:w="6120" w:type="dxa"/>
            <w:vAlign w:val="bottom"/>
            <w:tcBorders>
              <w:right w:val="single" w:sz="8" w:color="auto"/>
            </w:tcBorders>
          </w:tcPr>
          <w:p>
            <w:pPr>
              <w:spacing w:after="0"/>
              <w:rPr>
                <w:sz w:val="4"/>
                <w:szCs w:val="4"/>
                <w:color w:val="auto"/>
              </w:rPr>
            </w:pPr>
          </w:p>
        </w:tc>
        <w:tc>
          <w:tcPr>
            <w:tcW w:w="390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1240" w:type="dxa"/>
            <w:vAlign w:val="bottom"/>
            <w:tcBorders>
              <w:left w:val="single" w:sz="8" w:color="auto"/>
              <w:right w:val="single" w:sz="8" w:color="auto"/>
            </w:tcBorders>
          </w:tcPr>
          <w:p>
            <w:pPr>
              <w:spacing w:after="0"/>
              <w:rPr>
                <w:sz w:val="15"/>
                <w:szCs w:val="15"/>
                <w:color w:val="auto"/>
              </w:rPr>
            </w:pPr>
          </w:p>
        </w:tc>
        <w:tc>
          <w:tcPr>
            <w:tcW w:w="6120" w:type="dxa"/>
            <w:vAlign w:val="bottom"/>
            <w:tcBorders>
              <w:right w:val="single" w:sz="8" w:color="auto"/>
            </w:tcBorders>
          </w:tcPr>
          <w:p>
            <w:pPr>
              <w:spacing w:after="0"/>
              <w:rPr>
                <w:sz w:val="15"/>
                <w:szCs w:val="15"/>
                <w:color w:val="auto"/>
              </w:rPr>
            </w:pPr>
          </w:p>
        </w:tc>
        <w:tc>
          <w:tcPr>
            <w:tcW w:w="3900" w:type="dxa"/>
            <w:vAlign w:val="bottom"/>
            <w:tcBorders>
              <w:right w:val="single" w:sz="8" w:color="auto"/>
            </w:tcBorders>
          </w:tcPr>
          <w:p>
            <w:pPr>
              <w:ind w:left="60"/>
              <w:spacing w:after="0" w:line="181" w:lineRule="exact"/>
              <w:rPr>
                <w:sz w:val="20"/>
                <w:szCs w:val="20"/>
                <w:color w:val="auto"/>
              </w:rPr>
            </w:pPr>
            <w:r>
              <w:rPr>
                <w:rFonts w:ascii="Arial" w:cs="Arial" w:eastAsia="Arial" w:hAnsi="Arial"/>
                <w:sz w:val="18"/>
                <w:szCs w:val="18"/>
                <w:color w:val="auto"/>
              </w:rPr>
              <w:t>stock authorized as of July 15, 2025 (the “2025</w:t>
            </w:r>
          </w:p>
        </w:tc>
        <w:tc>
          <w:tcPr>
            <w:tcW w:w="0" w:type="dxa"/>
            <w:vAlign w:val="bottom"/>
          </w:tcPr>
          <w:p>
            <w:pPr>
              <w:spacing w:after="0"/>
              <w:rPr>
                <w:sz w:val="1"/>
                <w:szCs w:val="1"/>
                <w:color w:val="auto"/>
              </w:rPr>
            </w:pPr>
          </w:p>
        </w:tc>
      </w:tr>
      <w:tr>
        <w:trPr>
          <w:trHeight w:val="175"/>
        </w:trPr>
        <w:tc>
          <w:tcPr>
            <w:tcW w:w="1240" w:type="dxa"/>
            <w:vAlign w:val="bottom"/>
            <w:tcBorders>
              <w:left w:val="single" w:sz="8" w:color="auto"/>
              <w:right w:val="single" w:sz="8" w:color="auto"/>
            </w:tcBorders>
          </w:tcPr>
          <w:p>
            <w:pPr>
              <w:spacing w:after="0"/>
              <w:rPr>
                <w:sz w:val="15"/>
                <w:szCs w:val="15"/>
                <w:color w:val="auto"/>
              </w:rPr>
            </w:pPr>
          </w:p>
        </w:tc>
        <w:tc>
          <w:tcPr>
            <w:tcW w:w="6120" w:type="dxa"/>
            <w:vAlign w:val="bottom"/>
            <w:tcBorders>
              <w:right w:val="single" w:sz="8" w:color="auto"/>
            </w:tcBorders>
          </w:tcPr>
          <w:p>
            <w:pPr>
              <w:spacing w:after="0"/>
              <w:rPr>
                <w:sz w:val="15"/>
                <w:szCs w:val="15"/>
                <w:color w:val="auto"/>
              </w:rPr>
            </w:pPr>
          </w:p>
        </w:tc>
        <w:tc>
          <w:tcPr>
            <w:tcW w:w="3900" w:type="dxa"/>
            <w:vAlign w:val="bottom"/>
            <w:tcBorders>
              <w:right w:val="single" w:sz="8" w:color="auto"/>
            </w:tcBorders>
          </w:tcPr>
          <w:p>
            <w:pPr>
              <w:ind w:left="60"/>
              <w:spacing w:after="0" w:line="176" w:lineRule="exact"/>
              <w:rPr>
                <w:sz w:val="20"/>
                <w:szCs w:val="20"/>
                <w:color w:val="auto"/>
              </w:rPr>
            </w:pPr>
            <w:r>
              <w:rPr>
                <w:rFonts w:ascii="Arial" w:cs="Arial" w:eastAsia="Arial" w:hAnsi="Arial"/>
                <w:sz w:val="18"/>
                <w:szCs w:val="18"/>
                <w:color w:val="auto"/>
              </w:rPr>
              <w:t>Repurchase Program”). Subject to market</w:t>
            </w:r>
          </w:p>
        </w:tc>
        <w:tc>
          <w:tcPr>
            <w:tcW w:w="0" w:type="dxa"/>
            <w:vAlign w:val="bottom"/>
          </w:tcPr>
          <w:p>
            <w:pPr>
              <w:spacing w:after="0"/>
              <w:rPr>
                <w:sz w:val="1"/>
                <w:szCs w:val="1"/>
                <w:color w:val="auto"/>
              </w:rPr>
            </w:pPr>
          </w:p>
        </w:tc>
      </w:tr>
      <w:tr>
        <w:trPr>
          <w:trHeight w:val="184"/>
        </w:trPr>
        <w:tc>
          <w:tcPr>
            <w:tcW w:w="1240" w:type="dxa"/>
            <w:vAlign w:val="bottom"/>
            <w:tcBorders>
              <w:left w:val="single" w:sz="8" w:color="auto"/>
              <w:right w:val="single" w:sz="8" w:color="auto"/>
            </w:tcBorders>
          </w:tcPr>
          <w:p>
            <w:pPr>
              <w:spacing w:after="0"/>
              <w:rPr>
                <w:sz w:val="15"/>
                <w:szCs w:val="15"/>
                <w:color w:val="auto"/>
              </w:rPr>
            </w:pPr>
          </w:p>
        </w:tc>
        <w:tc>
          <w:tcPr>
            <w:tcW w:w="6120" w:type="dxa"/>
            <w:vAlign w:val="bottom"/>
            <w:tcBorders>
              <w:right w:val="single" w:sz="8" w:color="auto"/>
            </w:tcBorders>
          </w:tcPr>
          <w:p>
            <w:pPr>
              <w:spacing w:after="0"/>
              <w:rPr>
                <w:sz w:val="15"/>
                <w:szCs w:val="15"/>
                <w:color w:val="auto"/>
              </w:rPr>
            </w:pPr>
          </w:p>
        </w:tc>
        <w:tc>
          <w:tcPr>
            <w:tcW w:w="3900" w:type="dxa"/>
            <w:vAlign w:val="bottom"/>
            <w:tcBorders>
              <w:right w:val="single" w:sz="8" w:color="auto"/>
            </w:tcBorders>
          </w:tcPr>
          <w:p>
            <w:pPr>
              <w:ind w:left="60"/>
              <w:spacing w:after="0" w:line="183" w:lineRule="exact"/>
              <w:rPr>
                <w:sz w:val="20"/>
                <w:szCs w:val="20"/>
                <w:color w:val="auto"/>
              </w:rPr>
            </w:pPr>
            <w:r>
              <w:rPr>
                <w:rFonts w:ascii="Arial" w:cs="Arial" w:eastAsia="Arial" w:hAnsi="Arial"/>
                <w:sz w:val="18"/>
                <w:szCs w:val="18"/>
                <w:color w:val="auto"/>
              </w:rPr>
              <w:t>conditions and the market price of the</w:t>
            </w:r>
          </w:p>
        </w:tc>
        <w:tc>
          <w:tcPr>
            <w:tcW w:w="0" w:type="dxa"/>
            <w:vAlign w:val="bottom"/>
          </w:tcPr>
          <w:p>
            <w:pPr>
              <w:spacing w:after="0"/>
              <w:rPr>
                <w:sz w:val="1"/>
                <w:szCs w:val="1"/>
                <w:color w:val="auto"/>
              </w:rPr>
            </w:pPr>
          </w:p>
        </w:tc>
      </w:tr>
      <w:tr>
        <w:trPr>
          <w:trHeight w:val="181"/>
        </w:trPr>
        <w:tc>
          <w:tcPr>
            <w:tcW w:w="1240" w:type="dxa"/>
            <w:vAlign w:val="bottom"/>
            <w:tcBorders>
              <w:left w:val="single" w:sz="8" w:color="auto"/>
              <w:right w:val="single" w:sz="8" w:color="auto"/>
            </w:tcBorders>
          </w:tcPr>
          <w:p>
            <w:pPr>
              <w:spacing w:after="0"/>
              <w:rPr>
                <w:sz w:val="15"/>
                <w:szCs w:val="15"/>
                <w:color w:val="auto"/>
              </w:rPr>
            </w:pPr>
          </w:p>
        </w:tc>
        <w:tc>
          <w:tcPr>
            <w:tcW w:w="6120" w:type="dxa"/>
            <w:vAlign w:val="bottom"/>
            <w:tcBorders>
              <w:right w:val="single" w:sz="8" w:color="auto"/>
            </w:tcBorders>
          </w:tcPr>
          <w:p>
            <w:pPr>
              <w:spacing w:after="0"/>
              <w:rPr>
                <w:sz w:val="15"/>
                <w:szCs w:val="15"/>
                <w:color w:val="auto"/>
              </w:rPr>
            </w:pPr>
          </w:p>
        </w:tc>
        <w:tc>
          <w:tcPr>
            <w:tcW w:w="3900" w:type="dxa"/>
            <w:vAlign w:val="bottom"/>
            <w:tcBorders>
              <w:right w:val="single" w:sz="8" w:color="auto"/>
            </w:tcBorders>
          </w:tcPr>
          <w:p>
            <w:pPr>
              <w:ind w:left="60"/>
              <w:spacing w:after="0" w:line="181" w:lineRule="exact"/>
              <w:rPr>
                <w:sz w:val="20"/>
                <w:szCs w:val="20"/>
                <w:color w:val="auto"/>
              </w:rPr>
            </w:pPr>
            <w:r>
              <w:rPr>
                <w:rFonts w:ascii="Arial" w:cs="Arial" w:eastAsia="Arial" w:hAnsi="Arial"/>
                <w:sz w:val="18"/>
                <w:szCs w:val="18"/>
                <w:color w:val="auto"/>
              </w:rPr>
              <w:t>Company’s stock, as well as other factors, the</w:t>
            </w:r>
          </w:p>
        </w:tc>
        <w:tc>
          <w:tcPr>
            <w:tcW w:w="0" w:type="dxa"/>
            <w:vAlign w:val="bottom"/>
          </w:tcPr>
          <w:p>
            <w:pPr>
              <w:spacing w:after="0"/>
              <w:rPr>
                <w:sz w:val="1"/>
                <w:szCs w:val="1"/>
                <w:color w:val="auto"/>
              </w:rPr>
            </w:pPr>
          </w:p>
        </w:tc>
      </w:tr>
      <w:tr>
        <w:trPr>
          <w:trHeight w:val="176"/>
        </w:trPr>
        <w:tc>
          <w:tcPr>
            <w:tcW w:w="1240" w:type="dxa"/>
            <w:vAlign w:val="bottom"/>
            <w:tcBorders>
              <w:left w:val="single" w:sz="8" w:color="auto"/>
              <w:right w:val="single" w:sz="8" w:color="auto"/>
            </w:tcBorders>
          </w:tcPr>
          <w:p>
            <w:pPr>
              <w:spacing w:after="0"/>
              <w:rPr>
                <w:sz w:val="15"/>
                <w:szCs w:val="15"/>
                <w:color w:val="auto"/>
              </w:rPr>
            </w:pPr>
          </w:p>
        </w:tc>
        <w:tc>
          <w:tcPr>
            <w:tcW w:w="6120" w:type="dxa"/>
            <w:vAlign w:val="bottom"/>
            <w:tcBorders>
              <w:right w:val="single" w:sz="8" w:color="auto"/>
            </w:tcBorders>
          </w:tcPr>
          <w:p>
            <w:pPr>
              <w:spacing w:after="0"/>
              <w:rPr>
                <w:sz w:val="15"/>
                <w:szCs w:val="15"/>
                <w:color w:val="auto"/>
              </w:rPr>
            </w:pPr>
          </w:p>
        </w:tc>
        <w:tc>
          <w:tcPr>
            <w:tcW w:w="3900" w:type="dxa"/>
            <w:vAlign w:val="bottom"/>
            <w:tcBorders>
              <w:right w:val="single" w:sz="8" w:color="auto"/>
            </w:tcBorders>
          </w:tcPr>
          <w:p>
            <w:pPr>
              <w:ind w:left="60"/>
              <w:spacing w:after="0" w:line="176" w:lineRule="exact"/>
              <w:rPr>
                <w:sz w:val="20"/>
                <w:szCs w:val="20"/>
                <w:color w:val="auto"/>
              </w:rPr>
            </w:pPr>
            <w:r>
              <w:rPr>
                <w:rFonts w:ascii="Arial" w:cs="Arial" w:eastAsia="Arial" w:hAnsi="Arial"/>
                <w:sz w:val="18"/>
                <w:szCs w:val="18"/>
                <w:color w:val="auto"/>
              </w:rPr>
              <w:t>Company intends to repurchase, from time to</w:t>
            </w:r>
          </w:p>
        </w:tc>
        <w:tc>
          <w:tcPr>
            <w:tcW w:w="0" w:type="dxa"/>
            <w:vAlign w:val="bottom"/>
          </w:tcPr>
          <w:p>
            <w:pPr>
              <w:spacing w:after="0"/>
              <w:rPr>
                <w:sz w:val="1"/>
                <w:szCs w:val="1"/>
                <w:color w:val="auto"/>
              </w:rPr>
            </w:pPr>
          </w:p>
        </w:tc>
      </w:tr>
      <w:tr>
        <w:trPr>
          <w:trHeight w:val="184"/>
        </w:trPr>
        <w:tc>
          <w:tcPr>
            <w:tcW w:w="1240" w:type="dxa"/>
            <w:vAlign w:val="bottom"/>
            <w:tcBorders>
              <w:left w:val="single" w:sz="8" w:color="auto"/>
              <w:right w:val="single" w:sz="8" w:color="auto"/>
            </w:tcBorders>
          </w:tcPr>
          <w:p>
            <w:pPr>
              <w:spacing w:after="0"/>
              <w:rPr>
                <w:sz w:val="15"/>
                <w:szCs w:val="15"/>
                <w:color w:val="auto"/>
              </w:rPr>
            </w:pPr>
          </w:p>
        </w:tc>
        <w:tc>
          <w:tcPr>
            <w:tcW w:w="6120" w:type="dxa"/>
            <w:vAlign w:val="bottom"/>
            <w:tcBorders>
              <w:right w:val="single" w:sz="8" w:color="auto"/>
            </w:tcBorders>
          </w:tcPr>
          <w:p>
            <w:pPr>
              <w:spacing w:after="0"/>
              <w:rPr>
                <w:sz w:val="15"/>
                <w:szCs w:val="15"/>
                <w:color w:val="auto"/>
              </w:rPr>
            </w:pPr>
          </w:p>
        </w:tc>
        <w:tc>
          <w:tcPr>
            <w:tcW w:w="3900" w:type="dxa"/>
            <w:vAlign w:val="bottom"/>
            <w:tcBorders>
              <w:right w:val="single" w:sz="8" w:color="auto"/>
            </w:tcBorders>
          </w:tcPr>
          <w:p>
            <w:pPr>
              <w:ind w:left="60"/>
              <w:spacing w:after="0" w:line="183" w:lineRule="exact"/>
              <w:rPr>
                <w:sz w:val="20"/>
                <w:szCs w:val="20"/>
                <w:color w:val="auto"/>
              </w:rPr>
            </w:pPr>
            <w:r>
              <w:rPr>
                <w:rFonts w:ascii="Arial" w:cs="Arial" w:eastAsia="Arial" w:hAnsi="Arial"/>
                <w:sz w:val="18"/>
                <w:szCs w:val="18"/>
                <w:color w:val="auto"/>
              </w:rPr>
              <w:t>time, in the open market or otherwise, a</w:t>
            </w:r>
          </w:p>
        </w:tc>
        <w:tc>
          <w:tcPr>
            <w:tcW w:w="0" w:type="dxa"/>
            <w:vAlign w:val="bottom"/>
          </w:tcPr>
          <w:p>
            <w:pPr>
              <w:spacing w:after="0"/>
              <w:rPr>
                <w:sz w:val="1"/>
                <w:szCs w:val="1"/>
                <w:color w:val="auto"/>
              </w:rPr>
            </w:pPr>
          </w:p>
        </w:tc>
      </w:tr>
      <w:tr>
        <w:trPr>
          <w:trHeight w:val="181"/>
        </w:trPr>
        <w:tc>
          <w:tcPr>
            <w:tcW w:w="1240" w:type="dxa"/>
            <w:vAlign w:val="bottom"/>
            <w:tcBorders>
              <w:left w:val="single" w:sz="8" w:color="auto"/>
              <w:right w:val="single" w:sz="8" w:color="auto"/>
            </w:tcBorders>
          </w:tcPr>
          <w:p>
            <w:pPr>
              <w:spacing w:after="0"/>
              <w:rPr>
                <w:sz w:val="15"/>
                <w:szCs w:val="15"/>
                <w:color w:val="auto"/>
              </w:rPr>
            </w:pPr>
          </w:p>
        </w:tc>
        <w:tc>
          <w:tcPr>
            <w:tcW w:w="6120" w:type="dxa"/>
            <w:vAlign w:val="bottom"/>
            <w:tcBorders>
              <w:right w:val="single" w:sz="8" w:color="auto"/>
            </w:tcBorders>
          </w:tcPr>
          <w:p>
            <w:pPr>
              <w:spacing w:after="0"/>
              <w:rPr>
                <w:sz w:val="15"/>
                <w:szCs w:val="15"/>
                <w:color w:val="auto"/>
              </w:rPr>
            </w:pPr>
          </w:p>
        </w:tc>
        <w:tc>
          <w:tcPr>
            <w:tcW w:w="3900" w:type="dxa"/>
            <w:vAlign w:val="bottom"/>
            <w:tcBorders>
              <w:right w:val="single" w:sz="8" w:color="auto"/>
            </w:tcBorders>
          </w:tcPr>
          <w:p>
            <w:pPr>
              <w:ind w:left="60"/>
              <w:spacing w:after="0" w:line="181" w:lineRule="exact"/>
              <w:rPr>
                <w:sz w:val="20"/>
                <w:szCs w:val="20"/>
                <w:color w:val="auto"/>
              </w:rPr>
            </w:pPr>
            <w:r>
              <w:rPr>
                <w:rFonts w:ascii="Arial" w:cs="Arial" w:eastAsia="Arial" w:hAnsi="Arial"/>
                <w:sz w:val="18"/>
                <w:szCs w:val="18"/>
                <w:color w:val="auto"/>
              </w:rPr>
              <w:t>combination of the Company’s Class A</w:t>
            </w:r>
          </w:p>
        </w:tc>
        <w:tc>
          <w:tcPr>
            <w:tcW w:w="0" w:type="dxa"/>
            <w:vAlign w:val="bottom"/>
          </w:tcPr>
          <w:p>
            <w:pPr>
              <w:spacing w:after="0"/>
              <w:rPr>
                <w:sz w:val="1"/>
                <w:szCs w:val="1"/>
                <w:color w:val="auto"/>
              </w:rPr>
            </w:pPr>
          </w:p>
        </w:tc>
      </w:tr>
      <w:tr>
        <w:trPr>
          <w:trHeight w:val="176"/>
        </w:trPr>
        <w:tc>
          <w:tcPr>
            <w:tcW w:w="1240" w:type="dxa"/>
            <w:vAlign w:val="bottom"/>
            <w:tcBorders>
              <w:left w:val="single" w:sz="8" w:color="auto"/>
              <w:right w:val="single" w:sz="8" w:color="auto"/>
            </w:tcBorders>
          </w:tcPr>
          <w:p>
            <w:pPr>
              <w:spacing w:after="0"/>
              <w:rPr>
                <w:sz w:val="15"/>
                <w:szCs w:val="15"/>
                <w:color w:val="auto"/>
              </w:rPr>
            </w:pPr>
          </w:p>
        </w:tc>
        <w:tc>
          <w:tcPr>
            <w:tcW w:w="6120" w:type="dxa"/>
            <w:vAlign w:val="bottom"/>
            <w:tcBorders>
              <w:right w:val="single" w:sz="8" w:color="auto"/>
            </w:tcBorders>
          </w:tcPr>
          <w:p>
            <w:pPr>
              <w:spacing w:after="0"/>
              <w:rPr>
                <w:sz w:val="15"/>
                <w:szCs w:val="15"/>
                <w:color w:val="auto"/>
              </w:rPr>
            </w:pPr>
          </w:p>
        </w:tc>
        <w:tc>
          <w:tcPr>
            <w:tcW w:w="3900" w:type="dxa"/>
            <w:vAlign w:val="bottom"/>
            <w:tcBorders>
              <w:right w:val="single" w:sz="8" w:color="auto"/>
            </w:tcBorders>
          </w:tcPr>
          <w:p>
            <w:pPr>
              <w:ind w:left="60"/>
              <w:spacing w:after="0" w:line="176" w:lineRule="exact"/>
              <w:rPr>
                <w:sz w:val="20"/>
                <w:szCs w:val="20"/>
                <w:color w:val="auto"/>
              </w:rPr>
            </w:pPr>
            <w:r>
              <w:rPr>
                <w:rFonts w:ascii="Arial" w:cs="Arial" w:eastAsia="Arial" w:hAnsi="Arial"/>
                <w:sz w:val="18"/>
                <w:szCs w:val="18"/>
                <w:color w:val="auto"/>
              </w:rPr>
              <w:t>common stock and Class B common stock. No</w:t>
            </w:r>
          </w:p>
        </w:tc>
        <w:tc>
          <w:tcPr>
            <w:tcW w:w="0" w:type="dxa"/>
            <w:vAlign w:val="bottom"/>
          </w:tcPr>
          <w:p>
            <w:pPr>
              <w:spacing w:after="0"/>
              <w:rPr>
                <w:sz w:val="1"/>
                <w:szCs w:val="1"/>
                <w:color w:val="auto"/>
              </w:rPr>
            </w:pPr>
          </w:p>
        </w:tc>
      </w:tr>
      <w:tr>
        <w:trPr>
          <w:trHeight w:val="184"/>
        </w:trPr>
        <w:tc>
          <w:tcPr>
            <w:tcW w:w="1240" w:type="dxa"/>
            <w:vAlign w:val="bottom"/>
            <w:tcBorders>
              <w:left w:val="single" w:sz="8" w:color="auto"/>
              <w:right w:val="single" w:sz="8" w:color="auto"/>
            </w:tcBorders>
          </w:tcPr>
          <w:p>
            <w:pPr>
              <w:spacing w:after="0"/>
              <w:rPr>
                <w:sz w:val="15"/>
                <w:szCs w:val="15"/>
                <w:color w:val="auto"/>
              </w:rPr>
            </w:pPr>
          </w:p>
        </w:tc>
        <w:tc>
          <w:tcPr>
            <w:tcW w:w="6120" w:type="dxa"/>
            <w:vAlign w:val="bottom"/>
            <w:tcBorders>
              <w:right w:val="single" w:sz="8" w:color="auto"/>
            </w:tcBorders>
          </w:tcPr>
          <w:p>
            <w:pPr>
              <w:spacing w:after="0"/>
              <w:rPr>
                <w:sz w:val="15"/>
                <w:szCs w:val="15"/>
                <w:color w:val="auto"/>
              </w:rPr>
            </w:pPr>
          </w:p>
        </w:tc>
        <w:tc>
          <w:tcPr>
            <w:tcW w:w="3900" w:type="dxa"/>
            <w:vAlign w:val="bottom"/>
            <w:tcBorders>
              <w:right w:val="single" w:sz="8" w:color="auto"/>
            </w:tcBorders>
          </w:tcPr>
          <w:p>
            <w:pPr>
              <w:ind w:left="60"/>
              <w:spacing w:after="0" w:line="183" w:lineRule="exact"/>
              <w:rPr>
                <w:sz w:val="20"/>
                <w:szCs w:val="20"/>
                <w:color w:val="auto"/>
              </w:rPr>
            </w:pPr>
            <w:r>
              <w:rPr>
                <w:rFonts w:ascii="Arial" w:cs="Arial" w:eastAsia="Arial" w:hAnsi="Arial"/>
                <w:sz w:val="18"/>
                <w:szCs w:val="18"/>
                <w:color w:val="auto"/>
              </w:rPr>
              <w:t>ASX-listed CDIs will be repurchased in these</w:t>
            </w:r>
          </w:p>
        </w:tc>
        <w:tc>
          <w:tcPr>
            <w:tcW w:w="0" w:type="dxa"/>
            <w:vAlign w:val="bottom"/>
          </w:tcPr>
          <w:p>
            <w:pPr>
              <w:spacing w:after="0"/>
              <w:rPr>
                <w:sz w:val="1"/>
                <w:szCs w:val="1"/>
                <w:color w:val="auto"/>
              </w:rPr>
            </w:pPr>
          </w:p>
        </w:tc>
      </w:tr>
      <w:tr>
        <w:trPr>
          <w:trHeight w:val="235"/>
        </w:trPr>
        <w:tc>
          <w:tcPr>
            <w:tcW w:w="1240" w:type="dxa"/>
            <w:vAlign w:val="bottom"/>
            <w:tcBorders>
              <w:left w:val="single" w:sz="8" w:color="auto"/>
              <w:bottom w:val="single" w:sz="8" w:color="auto"/>
              <w:right w:val="single" w:sz="8" w:color="auto"/>
            </w:tcBorders>
          </w:tcPr>
          <w:p>
            <w:pPr>
              <w:spacing w:after="0"/>
              <w:rPr>
                <w:sz w:val="20"/>
                <w:szCs w:val="20"/>
                <w:color w:val="auto"/>
              </w:rPr>
            </w:pPr>
          </w:p>
        </w:tc>
        <w:tc>
          <w:tcPr>
            <w:tcW w:w="6120" w:type="dxa"/>
            <w:vAlign w:val="bottom"/>
            <w:tcBorders>
              <w:bottom w:val="single" w:sz="8" w:color="auto"/>
              <w:right w:val="single" w:sz="8" w:color="auto"/>
            </w:tcBorders>
          </w:tcPr>
          <w:p>
            <w:pPr>
              <w:spacing w:after="0"/>
              <w:rPr>
                <w:sz w:val="20"/>
                <w:szCs w:val="20"/>
                <w:color w:val="auto"/>
              </w:rPr>
            </w:pPr>
          </w:p>
        </w:tc>
        <w:tc>
          <w:tcPr>
            <w:tcW w:w="39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programs.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25"/>
          <w:szCs w:val="25"/>
          <w:color w:val="auto"/>
        </w:rPr>
        <w:t>Part 3 –Buy-back details</w:t>
      </w:r>
    </w:p>
    <w:p>
      <w:pPr>
        <w:spacing w:after="0" w:line="77" w:lineRule="exact"/>
        <w:rPr>
          <w:sz w:val="20"/>
          <w:szCs w:val="20"/>
          <w:color w:val="auto"/>
        </w:rPr>
      </w:pPr>
    </w:p>
    <w:p>
      <w:pPr>
        <w:spacing w:after="0"/>
        <w:rPr>
          <w:sz w:val="20"/>
          <w:szCs w:val="20"/>
          <w:color w:val="auto"/>
        </w:rPr>
      </w:pPr>
      <w:r>
        <w:rPr>
          <w:rFonts w:ascii="Arial" w:cs="Arial" w:eastAsia="Arial" w:hAnsi="Arial"/>
          <w:sz w:val="25"/>
          <w:szCs w:val="25"/>
          <w:color w:val="auto"/>
        </w:rPr>
        <w:t>Part 3A – Details of +securities, price and reason</w:t>
      </w:r>
    </w:p>
    <w:p>
      <w:pPr>
        <w:spacing w:after="0" w:line="134"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1080" w:type="dxa"/>
            <w:vAlign w:val="bottom"/>
            <w:tcBorders>
              <w:top w:val="single" w:sz="8" w:color="auto"/>
              <w:left w:val="single" w:sz="8" w:color="auto"/>
            </w:tcBorders>
          </w:tcPr>
          <w:p>
            <w:pPr>
              <w:ind w:left="80"/>
              <w:spacing w:after="0" w:line="189" w:lineRule="exact"/>
              <w:rPr>
                <w:sz w:val="20"/>
                <w:szCs w:val="20"/>
                <w:color w:val="auto"/>
              </w:rPr>
            </w:pPr>
            <w:r>
              <w:rPr>
                <w:rFonts w:ascii="Arial" w:cs="Arial" w:eastAsia="Arial" w:hAnsi="Arial"/>
                <w:sz w:val="18"/>
                <w:szCs w:val="18"/>
                <w:color w:val="auto"/>
              </w:rPr>
              <w:t>3A.1</w:t>
            </w:r>
          </w:p>
        </w:tc>
        <w:tc>
          <w:tcPr>
            <w:tcW w:w="200" w:type="dxa"/>
            <w:vAlign w:val="bottom"/>
            <w:tcBorders>
              <w:top w:val="single" w:sz="8" w:color="auto"/>
              <w:right w:val="single" w:sz="8" w:color="auto"/>
            </w:tcBorders>
          </w:tcPr>
          <w:p>
            <w:pPr>
              <w:spacing w:after="0"/>
              <w:rPr>
                <w:sz w:val="16"/>
                <w:szCs w:val="16"/>
                <w:color w:val="auto"/>
              </w:rPr>
            </w:pPr>
          </w:p>
        </w:tc>
        <w:tc>
          <w:tcPr>
            <w:tcW w:w="6100" w:type="dxa"/>
            <w:vAlign w:val="bottom"/>
            <w:tcBorders>
              <w:top w:val="single" w:sz="8" w:color="auto"/>
              <w:right w:val="single" w:sz="8" w:color="auto"/>
            </w:tcBorders>
          </w:tcPr>
          <w:p>
            <w:pPr>
              <w:ind w:left="60"/>
              <w:spacing w:after="0" w:line="189" w:lineRule="exact"/>
              <w:rPr>
                <w:sz w:val="20"/>
                <w:szCs w:val="20"/>
                <w:color w:val="auto"/>
              </w:rPr>
            </w:pPr>
            <w:r>
              <w:rPr>
                <w:rFonts w:ascii="Arial" w:cs="Arial" w:eastAsia="Arial" w:hAnsi="Arial"/>
                <w:sz w:val="18"/>
                <w:szCs w:val="18"/>
                <w:color w:val="auto"/>
              </w:rPr>
              <w:t>*Total number of +securities on issue in the class of +securities to be</w:t>
            </w:r>
          </w:p>
        </w:tc>
        <w:tc>
          <w:tcPr>
            <w:tcW w:w="3880" w:type="dxa"/>
            <w:vAlign w:val="bottom"/>
            <w:tcBorders>
              <w:top w:val="single" w:sz="8" w:color="auto"/>
              <w:right w:val="single" w:sz="8" w:color="auto"/>
            </w:tcBorders>
          </w:tcPr>
          <w:p>
            <w:pPr>
              <w:ind w:left="60"/>
              <w:spacing w:after="0" w:line="189" w:lineRule="exact"/>
              <w:rPr>
                <w:sz w:val="20"/>
                <w:szCs w:val="20"/>
                <w:color w:val="auto"/>
              </w:rPr>
            </w:pPr>
            <w:r>
              <w:rPr>
                <w:rFonts w:ascii="Arial" w:cs="Arial" w:eastAsia="Arial" w:hAnsi="Arial"/>
                <w:sz w:val="18"/>
                <w:szCs w:val="18"/>
                <w:color w:val="auto"/>
              </w:rPr>
              <w:t>143,211,027</w:t>
            </w:r>
          </w:p>
        </w:tc>
        <w:tc>
          <w:tcPr>
            <w:tcW w:w="0" w:type="dxa"/>
            <w:vAlign w:val="bottom"/>
          </w:tcPr>
          <w:p>
            <w:pPr>
              <w:spacing w:after="0"/>
              <w:rPr>
                <w:sz w:val="1"/>
                <w:szCs w:val="1"/>
                <w:color w:val="auto"/>
              </w:rPr>
            </w:pPr>
          </w:p>
        </w:tc>
      </w:tr>
      <w:tr>
        <w:trPr>
          <w:trHeight w:val="241"/>
        </w:trPr>
        <w:tc>
          <w:tcPr>
            <w:tcW w:w="1080" w:type="dxa"/>
            <w:vAlign w:val="bottom"/>
            <w:tcBorders>
              <w:left w:val="single" w:sz="8" w:color="auto"/>
              <w:bottom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61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bought back</w:t>
            </w:r>
          </w:p>
        </w:tc>
        <w:tc>
          <w:tcPr>
            <w:tcW w:w="38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10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3A.2</w:t>
            </w:r>
          </w:p>
        </w:tc>
        <w:tc>
          <w:tcPr>
            <w:tcW w:w="200" w:type="dxa"/>
            <w:vAlign w:val="bottom"/>
            <w:tcBorders>
              <w:right w:val="single" w:sz="8" w:color="auto"/>
            </w:tcBorders>
          </w:tcPr>
          <w:p>
            <w:pPr>
              <w:spacing w:after="0"/>
              <w:rPr>
                <w:sz w:val="19"/>
                <w:szCs w:val="19"/>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*Total number of +securities proposed to be bought back</w:t>
            </w:r>
          </w:p>
        </w:tc>
        <w:tc>
          <w:tcPr>
            <w:tcW w:w="3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The Company may purchase up to an</w:t>
            </w:r>
          </w:p>
        </w:tc>
        <w:tc>
          <w:tcPr>
            <w:tcW w:w="0" w:type="dxa"/>
            <w:vAlign w:val="bottom"/>
          </w:tcPr>
          <w:p>
            <w:pPr>
              <w:spacing w:after="0"/>
              <w:rPr>
                <w:sz w:val="1"/>
                <w:szCs w:val="1"/>
                <w:color w:val="auto"/>
              </w:rPr>
            </w:pPr>
          </w:p>
        </w:tc>
      </w:tr>
      <w:tr>
        <w:trPr>
          <w:trHeight w:val="121"/>
        </w:trPr>
        <w:tc>
          <w:tcPr>
            <w:tcW w:w="1080" w:type="dxa"/>
            <w:vAlign w:val="bottom"/>
            <w:tcBorders>
              <w:left w:val="single" w:sz="8" w:color="auto"/>
            </w:tcBorders>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6100" w:type="dxa"/>
            <w:vAlign w:val="bottom"/>
            <w:tcBorders>
              <w:right w:val="single" w:sz="8" w:color="auto"/>
            </w:tcBorders>
            <w:vMerge w:val="restart"/>
          </w:tcPr>
          <w:p>
            <w:pPr>
              <w:ind w:left="60"/>
              <w:spacing w:after="0"/>
              <w:rPr>
                <w:sz w:val="20"/>
                <w:szCs w:val="20"/>
                <w:color w:val="auto"/>
              </w:rPr>
            </w:pPr>
            <w:r>
              <w:rPr>
                <w:rFonts w:ascii="Arial" w:cs="Arial" w:eastAsia="Arial" w:hAnsi="Arial"/>
                <w:sz w:val="14"/>
                <w:szCs w:val="14"/>
                <w:i w:val="1"/>
                <w:iCs w:val="1"/>
                <w:color w:val="auto"/>
              </w:rPr>
              <w:t>Answer this question if your response to Q 2.1 is “Employee share scheme buy-back,</w:t>
            </w:r>
          </w:p>
        </w:tc>
        <w:tc>
          <w:tcPr>
            <w:tcW w:w="3880" w:type="dxa"/>
            <w:vAlign w:val="bottom"/>
            <w:tcBorders>
              <w:right w:val="single" w:sz="8" w:color="auto"/>
            </w:tcBorders>
          </w:tcPr>
          <w:p>
            <w:pPr>
              <w:ind w:left="60"/>
              <w:spacing w:after="0" w:line="122" w:lineRule="exact"/>
              <w:rPr>
                <w:sz w:val="20"/>
                <w:szCs w:val="20"/>
                <w:color w:val="auto"/>
              </w:rPr>
            </w:pPr>
            <w:r>
              <w:rPr>
                <w:rFonts w:ascii="Arial" w:cs="Arial" w:eastAsia="Arial" w:hAnsi="Arial"/>
                <w:sz w:val="13"/>
                <w:szCs w:val="13"/>
                <w:color w:val="auto"/>
              </w:rPr>
              <w:t>aggregate of US$1 billion of Class A common</w:t>
            </w:r>
          </w:p>
        </w:tc>
        <w:tc>
          <w:tcPr>
            <w:tcW w:w="0" w:type="dxa"/>
            <w:vAlign w:val="bottom"/>
          </w:tcPr>
          <w:p>
            <w:pPr>
              <w:spacing w:after="0"/>
              <w:rPr>
                <w:sz w:val="1"/>
                <w:szCs w:val="1"/>
                <w:color w:val="auto"/>
              </w:rPr>
            </w:pPr>
          </w:p>
        </w:tc>
      </w:tr>
      <w:tr>
        <w:trPr>
          <w:trHeight w:val="87"/>
        </w:trPr>
        <w:tc>
          <w:tcPr>
            <w:tcW w:w="1080" w:type="dxa"/>
            <w:vAlign w:val="bottom"/>
            <w:tcBorders>
              <w:left w:val="single" w:sz="8" w:color="auto"/>
            </w:tcBorders>
          </w:tcPr>
          <w:p>
            <w:pPr>
              <w:spacing w:after="0"/>
              <w:rPr>
                <w:sz w:val="7"/>
                <w:szCs w:val="7"/>
                <w:color w:val="auto"/>
              </w:rPr>
            </w:pPr>
          </w:p>
        </w:tc>
        <w:tc>
          <w:tcPr>
            <w:tcW w:w="200" w:type="dxa"/>
            <w:vAlign w:val="bottom"/>
            <w:tcBorders>
              <w:right w:val="single" w:sz="8" w:color="auto"/>
            </w:tcBorders>
          </w:tcPr>
          <w:p>
            <w:pPr>
              <w:spacing w:after="0"/>
              <w:rPr>
                <w:sz w:val="7"/>
                <w:szCs w:val="7"/>
                <w:color w:val="auto"/>
              </w:rPr>
            </w:pPr>
          </w:p>
        </w:tc>
        <w:tc>
          <w:tcPr>
            <w:tcW w:w="6100" w:type="dxa"/>
            <w:vAlign w:val="bottom"/>
            <w:tcBorders>
              <w:right w:val="single" w:sz="8" w:color="auto"/>
            </w:tcBorders>
            <w:vMerge w:val="continue"/>
          </w:tcPr>
          <w:p>
            <w:pPr>
              <w:spacing w:after="0"/>
              <w:rPr>
                <w:sz w:val="7"/>
                <w:szCs w:val="7"/>
                <w:color w:val="auto"/>
              </w:rPr>
            </w:pPr>
          </w:p>
        </w:tc>
        <w:tc>
          <w:tcPr>
            <w:tcW w:w="388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stock and Class B common stock under the</w:t>
            </w:r>
          </w:p>
        </w:tc>
        <w:tc>
          <w:tcPr>
            <w:tcW w:w="0" w:type="dxa"/>
            <w:vAlign w:val="bottom"/>
          </w:tcPr>
          <w:p>
            <w:pPr>
              <w:spacing w:after="0"/>
              <w:rPr>
                <w:sz w:val="1"/>
                <w:szCs w:val="1"/>
                <w:color w:val="auto"/>
              </w:rPr>
            </w:pPr>
          </w:p>
        </w:tc>
      </w:tr>
      <w:tr>
        <w:trPr>
          <w:trHeight w:val="142"/>
        </w:trPr>
        <w:tc>
          <w:tcPr>
            <w:tcW w:w="1080" w:type="dxa"/>
            <w:vAlign w:val="bottom"/>
            <w:tcBorders>
              <w:left w:val="single" w:sz="8" w:color="auto"/>
            </w:tcBorders>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6100" w:type="dxa"/>
            <w:vAlign w:val="bottom"/>
            <w:tcBorders>
              <w:right w:val="single" w:sz="8" w:color="auto"/>
            </w:tcBorders>
          </w:tcPr>
          <w:p>
            <w:pPr>
              <w:ind w:left="60"/>
              <w:spacing w:after="0" w:line="143" w:lineRule="exact"/>
              <w:rPr>
                <w:sz w:val="20"/>
                <w:szCs w:val="20"/>
                <w:color w:val="auto"/>
              </w:rPr>
            </w:pPr>
            <w:r>
              <w:rPr>
                <w:rFonts w:ascii="Arial" w:cs="Arial" w:eastAsia="Arial" w:hAnsi="Arial"/>
                <w:sz w:val="14"/>
                <w:szCs w:val="14"/>
                <w:i w:val="1"/>
                <w:iCs w:val="1"/>
                <w:color w:val="auto"/>
              </w:rPr>
              <w:t>“Selective buy-back” or “Other buy-back”.</w:t>
            </w:r>
          </w:p>
        </w:tc>
        <w:tc>
          <w:tcPr>
            <w:tcW w:w="388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080" w:type="dxa"/>
            <w:vAlign w:val="bottom"/>
            <w:tcBorders>
              <w:left w:val="single" w:sz="8" w:color="auto"/>
              <w:bottom w:val="single" w:sz="8" w:color="auto"/>
            </w:tcBorders>
          </w:tcPr>
          <w:p>
            <w:pPr>
              <w:spacing w:after="0"/>
              <w:rPr>
                <w:sz w:val="16"/>
                <w:szCs w:val="16"/>
                <w:color w:val="auto"/>
              </w:rPr>
            </w:pPr>
          </w:p>
        </w:tc>
        <w:tc>
          <w:tcPr>
            <w:tcW w:w="200" w:type="dxa"/>
            <w:vAlign w:val="bottom"/>
            <w:tcBorders>
              <w:bottom w:val="single" w:sz="8" w:color="auto"/>
              <w:right w:val="single" w:sz="8" w:color="auto"/>
            </w:tcBorders>
          </w:tcPr>
          <w:p>
            <w:pPr>
              <w:spacing w:after="0"/>
              <w:rPr>
                <w:sz w:val="16"/>
                <w:szCs w:val="16"/>
                <w:color w:val="auto"/>
              </w:rPr>
            </w:pPr>
          </w:p>
        </w:tc>
        <w:tc>
          <w:tcPr>
            <w:tcW w:w="6100" w:type="dxa"/>
            <w:vAlign w:val="bottom"/>
            <w:tcBorders>
              <w:bottom w:val="single" w:sz="8" w:color="auto"/>
              <w:right w:val="single" w:sz="8" w:color="auto"/>
            </w:tcBorders>
          </w:tcPr>
          <w:p>
            <w:pPr>
              <w:spacing w:after="0"/>
              <w:rPr>
                <w:sz w:val="16"/>
                <w:szCs w:val="16"/>
                <w:color w:val="auto"/>
              </w:rPr>
            </w:pPr>
          </w:p>
        </w:tc>
        <w:tc>
          <w:tcPr>
            <w:tcW w:w="3880" w:type="dxa"/>
            <w:vAlign w:val="bottom"/>
            <w:tcBorders>
              <w:bottom w:val="single" w:sz="8" w:color="auto"/>
              <w:right w:val="single" w:sz="8" w:color="auto"/>
            </w:tcBorders>
          </w:tcPr>
          <w:p>
            <w:pPr>
              <w:ind w:left="60"/>
              <w:spacing w:after="0" w:line="189" w:lineRule="exact"/>
              <w:rPr>
                <w:sz w:val="20"/>
                <w:szCs w:val="20"/>
                <w:color w:val="auto"/>
              </w:rPr>
            </w:pPr>
            <w:r>
              <w:rPr>
                <w:rFonts w:ascii="Arial" w:cs="Arial" w:eastAsia="Arial" w:hAnsi="Arial"/>
                <w:sz w:val="18"/>
                <w:szCs w:val="18"/>
                <w:color w:val="auto"/>
              </w:rPr>
              <w:t>2025 Repurchase Program.</w:t>
            </w:r>
          </w:p>
        </w:tc>
        <w:tc>
          <w:tcPr>
            <w:tcW w:w="0" w:type="dxa"/>
            <w:vAlign w:val="bottom"/>
          </w:tcPr>
          <w:p>
            <w:pPr>
              <w:spacing w:after="0"/>
              <w:rPr>
                <w:sz w:val="1"/>
                <w:szCs w:val="1"/>
                <w:color w:val="auto"/>
              </w:rPr>
            </w:pPr>
          </w:p>
        </w:tc>
      </w:tr>
      <w:tr>
        <w:trPr>
          <w:trHeight w:val="281"/>
        </w:trPr>
        <w:tc>
          <w:tcPr>
            <w:tcW w:w="10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3A.4</w:t>
            </w:r>
          </w:p>
        </w:tc>
        <w:tc>
          <w:tcPr>
            <w:tcW w:w="200" w:type="dxa"/>
            <w:vAlign w:val="bottom"/>
            <w:tcBorders>
              <w:right w:val="single" w:sz="8" w:color="auto"/>
            </w:tcBorders>
          </w:tcPr>
          <w:p>
            <w:pPr>
              <w:spacing w:after="0"/>
              <w:rPr>
                <w:sz w:val="24"/>
                <w:szCs w:val="24"/>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*Does the entity intend to buy back a minimum number of +securities</w:t>
            </w:r>
          </w:p>
        </w:tc>
        <w:tc>
          <w:tcPr>
            <w:tcW w:w="3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190"/>
        </w:trPr>
        <w:tc>
          <w:tcPr>
            <w:tcW w:w="1080" w:type="dxa"/>
            <w:vAlign w:val="bottom"/>
            <w:tcBorders>
              <w:left w:val="single" w:sz="8" w:color="auto"/>
            </w:tcBorders>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Answer this question if your response to Q 2.1 is “On-market buy-back”.</w:t>
            </w:r>
          </w:p>
        </w:tc>
        <w:tc>
          <w:tcPr>
            <w:tcW w:w="38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62"/>
        </w:trPr>
        <w:tc>
          <w:tcPr>
            <w:tcW w:w="1080" w:type="dxa"/>
            <w:vAlign w:val="bottom"/>
            <w:tcBorders>
              <w:left w:val="single" w:sz="8" w:color="auto"/>
              <w:bottom w:val="single" w:sz="8" w:color="auto"/>
            </w:tcBorders>
          </w:tcPr>
          <w:p>
            <w:pPr>
              <w:spacing w:after="0"/>
              <w:rPr>
                <w:sz w:val="5"/>
                <w:szCs w:val="5"/>
                <w:color w:val="auto"/>
              </w:rPr>
            </w:pPr>
          </w:p>
        </w:tc>
        <w:tc>
          <w:tcPr>
            <w:tcW w:w="200" w:type="dxa"/>
            <w:vAlign w:val="bottom"/>
            <w:tcBorders>
              <w:bottom w:val="single" w:sz="8" w:color="auto"/>
              <w:right w:val="single" w:sz="8" w:color="auto"/>
            </w:tcBorders>
          </w:tcPr>
          <w:p>
            <w:pPr>
              <w:spacing w:after="0"/>
              <w:rPr>
                <w:sz w:val="5"/>
                <w:szCs w:val="5"/>
                <w:color w:val="auto"/>
              </w:rPr>
            </w:pPr>
          </w:p>
        </w:tc>
        <w:tc>
          <w:tcPr>
            <w:tcW w:w="6100" w:type="dxa"/>
            <w:vAlign w:val="bottom"/>
            <w:tcBorders>
              <w:bottom w:val="single" w:sz="8" w:color="auto"/>
              <w:right w:val="single" w:sz="8" w:color="auto"/>
            </w:tcBorders>
          </w:tcPr>
          <w:p>
            <w:pPr>
              <w:spacing w:after="0"/>
              <w:rPr>
                <w:sz w:val="5"/>
                <w:szCs w:val="5"/>
                <w:color w:val="auto"/>
              </w:rPr>
            </w:pPr>
          </w:p>
        </w:tc>
        <w:tc>
          <w:tcPr>
            <w:tcW w:w="38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81"/>
        </w:trPr>
        <w:tc>
          <w:tcPr>
            <w:tcW w:w="10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3A.5</w:t>
            </w:r>
          </w:p>
        </w:tc>
        <w:tc>
          <w:tcPr>
            <w:tcW w:w="200" w:type="dxa"/>
            <w:vAlign w:val="bottom"/>
            <w:tcBorders>
              <w:right w:val="single" w:sz="8" w:color="auto"/>
            </w:tcBorders>
          </w:tcPr>
          <w:p>
            <w:pPr>
              <w:spacing w:after="0"/>
              <w:rPr>
                <w:sz w:val="24"/>
                <w:szCs w:val="24"/>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*Does the entity intend to buy back a maximum number of securities?</w:t>
            </w:r>
          </w:p>
        </w:tc>
        <w:tc>
          <w:tcPr>
            <w:tcW w:w="3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Yes</w:t>
            </w:r>
          </w:p>
        </w:tc>
        <w:tc>
          <w:tcPr>
            <w:tcW w:w="0" w:type="dxa"/>
            <w:vAlign w:val="bottom"/>
          </w:tcPr>
          <w:p>
            <w:pPr>
              <w:spacing w:after="0"/>
              <w:rPr>
                <w:sz w:val="1"/>
                <w:szCs w:val="1"/>
                <w:color w:val="auto"/>
              </w:rPr>
            </w:pPr>
          </w:p>
        </w:tc>
      </w:tr>
      <w:tr>
        <w:trPr>
          <w:trHeight w:val="190"/>
        </w:trPr>
        <w:tc>
          <w:tcPr>
            <w:tcW w:w="1080" w:type="dxa"/>
            <w:vAlign w:val="bottom"/>
            <w:tcBorders>
              <w:left w:val="single" w:sz="8" w:color="auto"/>
            </w:tcBorders>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Answer this question if your response to Q 2.1 is “On-market buy-back”</w:t>
            </w:r>
          </w:p>
        </w:tc>
        <w:tc>
          <w:tcPr>
            <w:tcW w:w="38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62"/>
        </w:trPr>
        <w:tc>
          <w:tcPr>
            <w:tcW w:w="1280" w:type="dxa"/>
            <w:vAlign w:val="bottom"/>
            <w:tcBorders>
              <w:left w:val="single" w:sz="8" w:color="auto"/>
              <w:bottom w:val="single" w:sz="8" w:color="auto"/>
              <w:right w:val="single" w:sz="8" w:color="auto"/>
            </w:tcBorders>
            <w:gridSpan w:val="2"/>
          </w:tcPr>
          <w:p>
            <w:pPr>
              <w:spacing w:after="0"/>
              <w:rPr>
                <w:sz w:val="5"/>
                <w:szCs w:val="5"/>
                <w:color w:val="auto"/>
              </w:rPr>
            </w:pPr>
          </w:p>
        </w:tc>
        <w:tc>
          <w:tcPr>
            <w:tcW w:w="6100" w:type="dxa"/>
            <w:vAlign w:val="bottom"/>
            <w:tcBorders>
              <w:bottom w:val="single" w:sz="8" w:color="auto"/>
              <w:right w:val="single" w:sz="8" w:color="auto"/>
            </w:tcBorders>
          </w:tcPr>
          <w:p>
            <w:pPr>
              <w:spacing w:after="0"/>
              <w:rPr>
                <w:sz w:val="5"/>
                <w:szCs w:val="5"/>
                <w:color w:val="auto"/>
              </w:rPr>
            </w:pPr>
          </w:p>
        </w:tc>
        <w:tc>
          <w:tcPr>
            <w:tcW w:w="38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669"/>
        </w:trPr>
        <w:tc>
          <w:tcPr>
            <w:tcW w:w="7380" w:type="dxa"/>
            <w:vAlign w:val="bottom"/>
            <w:tcBorders>
              <w:bottom w:val="single" w:sz="8" w:color="auto"/>
            </w:tcBorders>
            <w:gridSpan w:val="3"/>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7380" w:type="dxa"/>
            <w:vAlign w:val="bottom"/>
            <w:gridSpan w:val="3"/>
          </w:tcPr>
          <w:p>
            <w:pPr>
              <w:ind w:left="80"/>
              <w:spacing w:after="0"/>
              <w:rPr>
                <w:sz w:val="20"/>
                <w:szCs w:val="20"/>
                <w:color w:val="auto"/>
              </w:rPr>
            </w:pPr>
            <w:r>
              <w:rPr>
                <w:rFonts w:ascii="Arial" w:cs="Arial" w:eastAsia="Arial" w:hAnsi="Arial"/>
                <w:sz w:val="16"/>
                <w:szCs w:val="16"/>
                <w:color w:val="auto"/>
              </w:rPr>
              <w:t>+ See chapter 19 for defined terms</w:t>
            </w:r>
          </w:p>
        </w:tc>
        <w:tc>
          <w:tcPr>
            <w:tcW w:w="3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1080" w:type="dxa"/>
            <w:vAlign w:val="bottom"/>
          </w:tcPr>
          <w:p>
            <w:pPr>
              <w:spacing w:after="0"/>
              <w:rPr>
                <w:sz w:val="20"/>
                <w:szCs w:val="20"/>
                <w:color w:val="auto"/>
              </w:rPr>
            </w:pPr>
            <w:r>
              <w:rPr>
                <w:rFonts w:ascii="Arial" w:cs="Arial" w:eastAsia="Arial" w:hAnsi="Arial"/>
                <w:sz w:val="16"/>
                <w:szCs w:val="16"/>
                <w:i w:val="1"/>
                <w:iCs w:val="1"/>
                <w:color w:val="auto"/>
              </w:rPr>
              <w:t>5 June 2021</w:t>
            </w:r>
          </w:p>
        </w:tc>
        <w:tc>
          <w:tcPr>
            <w:tcW w:w="6300" w:type="dxa"/>
            <w:vAlign w:val="bottom"/>
            <w:gridSpan w:val="2"/>
          </w:tcPr>
          <w:p>
            <w:pPr>
              <w:ind w:left="180"/>
              <w:spacing w:after="0"/>
              <w:rPr>
                <w:sz w:val="20"/>
                <w:szCs w:val="20"/>
                <w:color w:val="auto"/>
              </w:rPr>
            </w:pPr>
            <w:r>
              <w:rPr>
                <w:rFonts w:ascii="Arial" w:cs="Arial" w:eastAsia="Arial" w:hAnsi="Arial"/>
                <w:sz w:val="16"/>
                <w:szCs w:val="16"/>
                <w:color w:val="auto"/>
              </w:rPr>
              <w:t>Page 2</w:t>
            </w:r>
          </w:p>
        </w:tc>
        <w:tc>
          <w:tcPr>
            <w:tcW w:w="3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283" w:right="319" w:bottom="1440" w:gutter="0" w:footer="0" w:header="0"/>
        </w:sectPr>
      </w:pPr>
    </w:p>
    <w:bookmarkStart w:id="9" w:name="page10"/>
    <w:bookmarkEnd w:id="9"/>
    <w:p>
      <w:pPr>
        <w:ind w:left="440"/>
        <w:spacing w:after="0"/>
        <w:rPr>
          <w:sz w:val="20"/>
          <w:szCs w:val="20"/>
          <w:color w:val="auto"/>
        </w:rPr>
      </w:pPr>
      <w:r>
        <w:rPr>
          <w:rFonts w:ascii="Arial" w:cs="Arial" w:eastAsia="Arial" w:hAnsi="Arial"/>
          <w:sz w:val="18"/>
          <w:szCs w:val="18"/>
          <w:b w:val="1"/>
          <w:bCs w:val="1"/>
          <w:color w:val="auto"/>
        </w:rPr>
        <w:t>Appendix 3C</w:t>
      </w:r>
    </w:p>
    <w:p>
      <w:pPr>
        <w:spacing w:after="0" w:line="14"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Notification of buy-back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128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3A.5a</w:t>
            </w:r>
          </w:p>
        </w:tc>
        <w:tc>
          <w:tcPr>
            <w:tcW w:w="6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*Maximum number of +securities proposed to be bought back</w:t>
            </w:r>
          </w:p>
        </w:tc>
        <w:tc>
          <w:tcPr>
            <w:tcW w:w="388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The Company may purchase up to an</w:t>
            </w:r>
          </w:p>
        </w:tc>
      </w:tr>
      <w:tr>
        <w:trPr>
          <w:trHeight w:val="203"/>
        </w:trPr>
        <w:tc>
          <w:tcPr>
            <w:tcW w:w="1280" w:type="dxa"/>
            <w:vAlign w:val="bottom"/>
            <w:tcBorders>
              <w:left w:val="single" w:sz="8" w:color="auto"/>
              <w:right w:val="single" w:sz="8" w:color="auto"/>
            </w:tcBorders>
          </w:tcPr>
          <w:p>
            <w:pPr>
              <w:spacing w:after="0"/>
              <w:rPr>
                <w:sz w:val="17"/>
                <w:szCs w:val="17"/>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Answer this question if your response to Q 2.1 is “On-market buy-back” and your response to</w:t>
            </w:r>
          </w:p>
        </w:tc>
        <w:tc>
          <w:tcPr>
            <w:tcW w:w="38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aggregate of US$1 billion of Class A common</w:t>
            </w:r>
          </w:p>
        </w:tc>
      </w:tr>
      <w:tr>
        <w:trPr>
          <w:trHeight w:val="148"/>
        </w:trPr>
        <w:tc>
          <w:tcPr>
            <w:tcW w:w="1280" w:type="dxa"/>
            <w:vAlign w:val="bottom"/>
            <w:tcBorders>
              <w:left w:val="single" w:sz="8" w:color="auto"/>
              <w:right w:val="single" w:sz="8" w:color="auto"/>
            </w:tcBorders>
          </w:tcPr>
          <w:p>
            <w:pPr>
              <w:spacing w:after="0"/>
              <w:rPr>
                <w:sz w:val="12"/>
                <w:szCs w:val="12"/>
                <w:color w:val="auto"/>
              </w:rPr>
            </w:pPr>
          </w:p>
        </w:tc>
        <w:tc>
          <w:tcPr>
            <w:tcW w:w="6100" w:type="dxa"/>
            <w:vAlign w:val="bottom"/>
            <w:tcBorders>
              <w:right w:val="single" w:sz="8" w:color="auto"/>
            </w:tcBorders>
          </w:tcPr>
          <w:p>
            <w:pPr>
              <w:ind w:left="60"/>
              <w:spacing w:after="0" w:line="149" w:lineRule="exact"/>
              <w:rPr>
                <w:sz w:val="20"/>
                <w:szCs w:val="20"/>
                <w:color w:val="auto"/>
              </w:rPr>
            </w:pPr>
            <w:r>
              <w:rPr>
                <w:rFonts w:ascii="Arial" w:cs="Arial" w:eastAsia="Arial" w:hAnsi="Arial"/>
                <w:sz w:val="14"/>
                <w:szCs w:val="14"/>
                <w:i w:val="1"/>
                <w:iCs w:val="1"/>
                <w:color w:val="auto"/>
              </w:rPr>
              <w:t>Q 3A.5 is “Yes”.</w:t>
            </w:r>
          </w:p>
        </w:tc>
        <w:tc>
          <w:tcPr>
            <w:tcW w:w="3880" w:type="dxa"/>
            <w:vAlign w:val="bottom"/>
            <w:tcBorders>
              <w:right w:val="single" w:sz="8" w:color="auto"/>
            </w:tcBorders>
          </w:tcPr>
          <w:p>
            <w:pPr>
              <w:ind w:left="60"/>
              <w:spacing w:after="0" w:line="149" w:lineRule="exact"/>
              <w:rPr>
                <w:sz w:val="20"/>
                <w:szCs w:val="20"/>
                <w:color w:val="auto"/>
              </w:rPr>
            </w:pPr>
            <w:r>
              <w:rPr>
                <w:rFonts w:ascii="Arial" w:cs="Arial" w:eastAsia="Arial" w:hAnsi="Arial"/>
                <w:sz w:val="17"/>
                <w:szCs w:val="17"/>
                <w:color w:val="auto"/>
              </w:rPr>
              <w:t>stock and Class B common stock under the</w:t>
            </w:r>
          </w:p>
        </w:tc>
      </w:tr>
      <w:tr>
        <w:trPr>
          <w:trHeight w:val="189"/>
        </w:trPr>
        <w:tc>
          <w:tcPr>
            <w:tcW w:w="1280" w:type="dxa"/>
            <w:vAlign w:val="bottom"/>
            <w:tcBorders>
              <w:left w:val="single" w:sz="8" w:color="auto"/>
              <w:bottom w:val="single" w:sz="8" w:color="auto"/>
              <w:right w:val="single" w:sz="8" w:color="auto"/>
            </w:tcBorders>
          </w:tcPr>
          <w:p>
            <w:pPr>
              <w:spacing w:after="0"/>
              <w:rPr>
                <w:sz w:val="16"/>
                <w:szCs w:val="16"/>
                <w:color w:val="auto"/>
              </w:rPr>
            </w:pPr>
          </w:p>
        </w:tc>
        <w:tc>
          <w:tcPr>
            <w:tcW w:w="6100" w:type="dxa"/>
            <w:vAlign w:val="bottom"/>
            <w:tcBorders>
              <w:bottom w:val="single" w:sz="8" w:color="auto"/>
              <w:right w:val="single" w:sz="8" w:color="auto"/>
            </w:tcBorders>
          </w:tcPr>
          <w:p>
            <w:pPr>
              <w:spacing w:after="0"/>
              <w:rPr>
                <w:sz w:val="16"/>
                <w:szCs w:val="16"/>
                <w:color w:val="auto"/>
              </w:rPr>
            </w:pPr>
          </w:p>
        </w:tc>
        <w:tc>
          <w:tcPr>
            <w:tcW w:w="3880" w:type="dxa"/>
            <w:vAlign w:val="bottom"/>
            <w:tcBorders>
              <w:bottom w:val="single" w:sz="8" w:color="auto"/>
              <w:right w:val="single" w:sz="8" w:color="auto"/>
            </w:tcBorders>
          </w:tcPr>
          <w:p>
            <w:pPr>
              <w:ind w:left="60"/>
              <w:spacing w:after="0" w:line="189" w:lineRule="exact"/>
              <w:rPr>
                <w:sz w:val="20"/>
                <w:szCs w:val="20"/>
                <w:color w:val="auto"/>
              </w:rPr>
            </w:pPr>
            <w:r>
              <w:rPr>
                <w:rFonts w:ascii="Arial" w:cs="Arial" w:eastAsia="Arial" w:hAnsi="Arial"/>
                <w:sz w:val="18"/>
                <w:szCs w:val="18"/>
                <w:color w:val="auto"/>
              </w:rPr>
              <w:t>2025 Repurchase Program.</w:t>
            </w:r>
          </w:p>
        </w:tc>
      </w:tr>
      <w:tr>
        <w:trPr>
          <w:trHeight w:val="223"/>
        </w:trPr>
        <w:tc>
          <w:tcPr>
            <w:tcW w:w="12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3A.6</w:t>
            </w: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*Name of broker or brokers who will offer to buy back +securities on the</w:t>
            </w:r>
          </w:p>
        </w:tc>
        <w:tc>
          <w:tcPr>
            <w:tcW w:w="3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Goldman Sachs &amp; Co. LLC</w:t>
            </w:r>
          </w:p>
        </w:tc>
      </w:tr>
      <w:tr>
        <w:trPr>
          <w:trHeight w:val="239"/>
        </w:trPr>
        <w:tc>
          <w:tcPr>
            <w:tcW w:w="1280" w:type="dxa"/>
            <w:vAlign w:val="bottom"/>
            <w:tcBorders>
              <w:left w:val="single" w:sz="8" w:color="auto"/>
              <w:right w:val="single" w:sz="8" w:color="auto"/>
            </w:tcBorders>
          </w:tcPr>
          <w:p>
            <w:pPr>
              <w:spacing w:after="0"/>
              <w:rPr>
                <w:sz w:val="20"/>
                <w:szCs w:val="20"/>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entity’s behalf</w:t>
            </w:r>
          </w:p>
        </w:tc>
        <w:tc>
          <w:tcPr>
            <w:tcW w:w="3880" w:type="dxa"/>
            <w:vAlign w:val="bottom"/>
            <w:tcBorders>
              <w:right w:val="single" w:sz="8" w:color="auto"/>
            </w:tcBorders>
          </w:tcPr>
          <w:p>
            <w:pPr>
              <w:spacing w:after="0"/>
              <w:rPr>
                <w:sz w:val="20"/>
                <w:szCs w:val="20"/>
                <w:color w:val="auto"/>
              </w:rPr>
            </w:pPr>
          </w:p>
        </w:tc>
      </w:tr>
      <w:tr>
        <w:trPr>
          <w:trHeight w:val="199"/>
        </w:trPr>
        <w:tc>
          <w:tcPr>
            <w:tcW w:w="1280" w:type="dxa"/>
            <w:vAlign w:val="bottom"/>
            <w:tcBorders>
              <w:left w:val="single" w:sz="8" w:color="auto"/>
              <w:right w:val="single" w:sz="8" w:color="auto"/>
            </w:tcBorders>
          </w:tcPr>
          <w:p>
            <w:pPr>
              <w:spacing w:after="0"/>
              <w:rPr>
                <w:sz w:val="17"/>
                <w:szCs w:val="17"/>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Answer this question if your response to Q 2.1 is “On-market buy-back”.</w:t>
            </w:r>
          </w:p>
        </w:tc>
        <w:tc>
          <w:tcPr>
            <w:tcW w:w="3880" w:type="dxa"/>
            <w:vAlign w:val="bottom"/>
            <w:tcBorders>
              <w:right w:val="single" w:sz="8" w:color="auto"/>
            </w:tcBorders>
          </w:tcPr>
          <w:p>
            <w:pPr>
              <w:spacing w:after="0"/>
              <w:rPr>
                <w:sz w:val="17"/>
                <w:szCs w:val="17"/>
                <w:color w:val="auto"/>
              </w:rPr>
            </w:pPr>
          </w:p>
        </w:tc>
      </w:tr>
      <w:tr>
        <w:trPr>
          <w:trHeight w:val="48"/>
        </w:trPr>
        <w:tc>
          <w:tcPr>
            <w:tcW w:w="1280" w:type="dxa"/>
            <w:vAlign w:val="bottom"/>
            <w:tcBorders>
              <w:left w:val="single" w:sz="8" w:color="auto"/>
              <w:bottom w:val="single" w:sz="8" w:color="auto"/>
              <w:right w:val="single" w:sz="8" w:color="auto"/>
            </w:tcBorders>
          </w:tcPr>
          <w:p>
            <w:pPr>
              <w:spacing w:after="0"/>
              <w:rPr>
                <w:sz w:val="4"/>
                <w:szCs w:val="4"/>
                <w:color w:val="auto"/>
              </w:rPr>
            </w:pPr>
          </w:p>
        </w:tc>
        <w:tc>
          <w:tcPr>
            <w:tcW w:w="6100" w:type="dxa"/>
            <w:vAlign w:val="bottom"/>
            <w:tcBorders>
              <w:bottom w:val="single" w:sz="8" w:color="auto"/>
              <w:right w:val="single" w:sz="8" w:color="auto"/>
            </w:tcBorders>
          </w:tcPr>
          <w:p>
            <w:pPr>
              <w:spacing w:after="0"/>
              <w:rPr>
                <w:sz w:val="4"/>
                <w:szCs w:val="4"/>
                <w:color w:val="auto"/>
              </w:rPr>
            </w:pPr>
          </w:p>
        </w:tc>
        <w:tc>
          <w:tcPr>
            <w:tcW w:w="3880" w:type="dxa"/>
            <w:vAlign w:val="bottom"/>
            <w:tcBorders>
              <w:bottom w:val="single" w:sz="8" w:color="auto"/>
              <w:right w:val="single" w:sz="8" w:color="auto"/>
            </w:tcBorders>
          </w:tcPr>
          <w:p>
            <w:pPr>
              <w:spacing w:after="0"/>
              <w:rPr>
                <w:sz w:val="4"/>
                <w:szCs w:val="4"/>
                <w:color w:val="auto"/>
              </w:rPr>
            </w:pPr>
          </w:p>
        </w:tc>
      </w:tr>
      <w:tr>
        <w:trPr>
          <w:trHeight w:val="281"/>
        </w:trPr>
        <w:tc>
          <w:tcPr>
            <w:tcW w:w="12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3A.9</w:t>
            </w: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*Are the +securities being bought back for a cash consideration?</w:t>
            </w:r>
          </w:p>
        </w:tc>
        <w:tc>
          <w:tcPr>
            <w:tcW w:w="3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Yes</w:t>
            </w:r>
          </w:p>
        </w:tc>
      </w:tr>
      <w:tr>
        <w:trPr>
          <w:trHeight w:val="151"/>
        </w:trPr>
        <w:tc>
          <w:tcPr>
            <w:tcW w:w="1280" w:type="dxa"/>
            <w:vAlign w:val="bottom"/>
            <w:tcBorders>
              <w:left w:val="single" w:sz="8" w:color="auto"/>
              <w:right w:val="single" w:sz="8" w:color="auto"/>
            </w:tcBorders>
          </w:tcPr>
          <w:p>
            <w:pPr>
              <w:spacing w:after="0"/>
              <w:rPr>
                <w:sz w:val="13"/>
                <w:szCs w:val="13"/>
                <w:color w:val="auto"/>
              </w:rPr>
            </w:pPr>
          </w:p>
        </w:tc>
        <w:tc>
          <w:tcPr>
            <w:tcW w:w="6100" w:type="dxa"/>
            <w:vAlign w:val="bottom"/>
            <w:tcBorders>
              <w:right w:val="single" w:sz="8" w:color="auto"/>
            </w:tcBorders>
          </w:tcPr>
          <w:p>
            <w:pPr>
              <w:ind w:left="60"/>
              <w:spacing w:after="0" w:line="151" w:lineRule="exact"/>
              <w:rPr>
                <w:sz w:val="20"/>
                <w:szCs w:val="20"/>
                <w:color w:val="auto"/>
              </w:rPr>
            </w:pPr>
            <w:r>
              <w:rPr>
                <w:rFonts w:ascii="Arial" w:cs="Arial" w:eastAsia="Arial" w:hAnsi="Arial"/>
                <w:sz w:val="14"/>
                <w:szCs w:val="14"/>
                <w:i w:val="1"/>
                <w:iCs w:val="1"/>
                <w:color w:val="auto"/>
              </w:rPr>
              <w:t>Note: if the securities are being bought back for nil cash consideration, answer this question</w:t>
            </w:r>
          </w:p>
        </w:tc>
        <w:tc>
          <w:tcPr>
            <w:tcW w:w="3880" w:type="dxa"/>
            <w:vAlign w:val="bottom"/>
            <w:tcBorders>
              <w:right w:val="single" w:sz="8" w:color="auto"/>
            </w:tcBorders>
          </w:tcPr>
          <w:p>
            <w:pPr>
              <w:spacing w:after="0"/>
              <w:rPr>
                <w:sz w:val="13"/>
                <w:szCs w:val="13"/>
                <w:color w:val="auto"/>
              </w:rPr>
            </w:pPr>
          </w:p>
        </w:tc>
      </w:tr>
      <w:tr>
        <w:trPr>
          <w:trHeight w:val="188"/>
        </w:trPr>
        <w:tc>
          <w:tcPr>
            <w:tcW w:w="1280" w:type="dxa"/>
            <w:vAlign w:val="bottom"/>
            <w:tcBorders>
              <w:left w:val="single" w:sz="8" w:color="auto"/>
              <w:right w:val="single" w:sz="8" w:color="auto"/>
            </w:tcBorders>
          </w:tcPr>
          <w:p>
            <w:pPr>
              <w:spacing w:after="0"/>
              <w:rPr>
                <w:sz w:val="16"/>
                <w:szCs w:val="16"/>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“No”.</w:t>
            </w:r>
          </w:p>
        </w:tc>
        <w:tc>
          <w:tcPr>
            <w:tcW w:w="3880" w:type="dxa"/>
            <w:vAlign w:val="bottom"/>
            <w:tcBorders>
              <w:right w:val="single" w:sz="8" w:color="auto"/>
            </w:tcBorders>
          </w:tcPr>
          <w:p>
            <w:pPr>
              <w:spacing w:after="0"/>
              <w:rPr>
                <w:sz w:val="16"/>
                <w:szCs w:val="16"/>
                <w:color w:val="auto"/>
              </w:rPr>
            </w:pPr>
          </w:p>
        </w:tc>
      </w:tr>
      <w:tr>
        <w:trPr>
          <w:trHeight w:val="62"/>
        </w:trPr>
        <w:tc>
          <w:tcPr>
            <w:tcW w:w="1280" w:type="dxa"/>
            <w:vAlign w:val="bottom"/>
            <w:tcBorders>
              <w:left w:val="single" w:sz="8" w:color="auto"/>
              <w:bottom w:val="single" w:sz="8" w:color="auto"/>
              <w:right w:val="single" w:sz="8" w:color="auto"/>
            </w:tcBorders>
          </w:tcPr>
          <w:p>
            <w:pPr>
              <w:spacing w:after="0"/>
              <w:rPr>
                <w:sz w:val="5"/>
                <w:szCs w:val="5"/>
                <w:color w:val="auto"/>
              </w:rPr>
            </w:pPr>
          </w:p>
        </w:tc>
        <w:tc>
          <w:tcPr>
            <w:tcW w:w="6100" w:type="dxa"/>
            <w:vAlign w:val="bottom"/>
            <w:tcBorders>
              <w:bottom w:val="single" w:sz="8" w:color="auto"/>
              <w:right w:val="single" w:sz="8" w:color="auto"/>
            </w:tcBorders>
          </w:tcPr>
          <w:p>
            <w:pPr>
              <w:spacing w:after="0"/>
              <w:rPr>
                <w:sz w:val="5"/>
                <w:szCs w:val="5"/>
                <w:color w:val="auto"/>
              </w:rPr>
            </w:pPr>
          </w:p>
        </w:tc>
        <w:tc>
          <w:tcPr>
            <w:tcW w:w="3880" w:type="dxa"/>
            <w:vAlign w:val="bottom"/>
            <w:tcBorders>
              <w:bottom w:val="single" w:sz="8" w:color="auto"/>
              <w:right w:val="single" w:sz="8" w:color="auto"/>
            </w:tcBorders>
          </w:tcPr>
          <w:p>
            <w:pPr>
              <w:spacing w:after="0"/>
              <w:rPr>
                <w:sz w:val="5"/>
                <w:szCs w:val="5"/>
                <w:color w:val="auto"/>
              </w:rPr>
            </w:pPr>
          </w:p>
        </w:tc>
      </w:tr>
      <w:tr>
        <w:trPr>
          <w:trHeight w:val="281"/>
        </w:trPr>
        <w:tc>
          <w:tcPr>
            <w:tcW w:w="12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3A.9a</w:t>
            </w: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*Is the price to be paid for +securities bought back known?</w:t>
            </w:r>
          </w:p>
        </w:tc>
        <w:tc>
          <w:tcPr>
            <w:tcW w:w="3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No</w:t>
            </w:r>
          </w:p>
        </w:tc>
      </w:tr>
      <w:tr>
        <w:trPr>
          <w:trHeight w:val="190"/>
        </w:trPr>
        <w:tc>
          <w:tcPr>
            <w:tcW w:w="1280" w:type="dxa"/>
            <w:vAlign w:val="bottom"/>
            <w:tcBorders>
              <w:left w:val="single" w:sz="8" w:color="auto"/>
              <w:right w:val="single" w:sz="8" w:color="auto"/>
            </w:tcBorders>
          </w:tcPr>
          <w:p>
            <w:pPr>
              <w:spacing w:after="0"/>
              <w:rPr>
                <w:sz w:val="16"/>
                <w:szCs w:val="16"/>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Answer this question if your response to Q 3A.9 is “Yes”.</w:t>
            </w:r>
          </w:p>
        </w:tc>
        <w:tc>
          <w:tcPr>
            <w:tcW w:w="3880" w:type="dxa"/>
            <w:vAlign w:val="bottom"/>
            <w:tcBorders>
              <w:right w:val="single" w:sz="8" w:color="auto"/>
            </w:tcBorders>
          </w:tcPr>
          <w:p>
            <w:pPr>
              <w:spacing w:after="0"/>
              <w:rPr>
                <w:sz w:val="16"/>
                <w:szCs w:val="16"/>
                <w:color w:val="auto"/>
              </w:rPr>
            </w:pPr>
          </w:p>
        </w:tc>
      </w:tr>
      <w:tr>
        <w:trPr>
          <w:trHeight w:val="62"/>
        </w:trPr>
        <w:tc>
          <w:tcPr>
            <w:tcW w:w="1280" w:type="dxa"/>
            <w:vAlign w:val="bottom"/>
            <w:tcBorders>
              <w:left w:val="single" w:sz="8" w:color="auto"/>
              <w:bottom w:val="single" w:sz="8" w:color="auto"/>
              <w:right w:val="single" w:sz="8" w:color="auto"/>
            </w:tcBorders>
          </w:tcPr>
          <w:p>
            <w:pPr>
              <w:spacing w:after="0"/>
              <w:rPr>
                <w:sz w:val="5"/>
                <w:szCs w:val="5"/>
                <w:color w:val="auto"/>
              </w:rPr>
            </w:pPr>
          </w:p>
        </w:tc>
        <w:tc>
          <w:tcPr>
            <w:tcW w:w="6100" w:type="dxa"/>
            <w:vAlign w:val="bottom"/>
            <w:tcBorders>
              <w:bottom w:val="single" w:sz="8" w:color="auto"/>
              <w:right w:val="single" w:sz="8" w:color="auto"/>
            </w:tcBorders>
          </w:tcPr>
          <w:p>
            <w:pPr>
              <w:spacing w:after="0"/>
              <w:rPr>
                <w:sz w:val="5"/>
                <w:szCs w:val="5"/>
                <w:color w:val="auto"/>
              </w:rPr>
            </w:pPr>
          </w:p>
        </w:tc>
        <w:tc>
          <w:tcPr>
            <w:tcW w:w="3880" w:type="dxa"/>
            <w:vAlign w:val="bottom"/>
            <w:tcBorders>
              <w:bottom w:val="single" w:sz="8" w:color="auto"/>
              <w:right w:val="single" w:sz="8" w:color="auto"/>
            </w:tcBorders>
          </w:tcPr>
          <w:p>
            <w:pPr>
              <w:spacing w:after="0"/>
              <w:rPr>
                <w:sz w:val="5"/>
                <w:szCs w:val="5"/>
                <w:color w:val="auto"/>
              </w:rPr>
            </w:pPr>
          </w:p>
        </w:tc>
      </w:tr>
      <w:tr>
        <w:trPr>
          <w:trHeight w:val="281"/>
        </w:trPr>
        <w:tc>
          <w:tcPr>
            <w:tcW w:w="12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3A.9a(i)</w:t>
            </w: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*In what currency will the buy-back consideration be paid?</w:t>
            </w:r>
          </w:p>
        </w:tc>
        <w:tc>
          <w:tcPr>
            <w:tcW w:w="3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USD – US Dollar</w:t>
            </w:r>
          </w:p>
        </w:tc>
      </w:tr>
      <w:tr>
        <w:trPr>
          <w:trHeight w:val="190"/>
        </w:trPr>
        <w:tc>
          <w:tcPr>
            <w:tcW w:w="1280" w:type="dxa"/>
            <w:vAlign w:val="bottom"/>
            <w:tcBorders>
              <w:left w:val="single" w:sz="8" w:color="auto"/>
              <w:right w:val="single" w:sz="8" w:color="auto"/>
            </w:tcBorders>
          </w:tcPr>
          <w:p>
            <w:pPr>
              <w:spacing w:after="0"/>
              <w:rPr>
                <w:sz w:val="16"/>
                <w:szCs w:val="16"/>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Answer this question if your response to Q 3A.9 is “Yes”.</w:t>
            </w:r>
          </w:p>
        </w:tc>
        <w:tc>
          <w:tcPr>
            <w:tcW w:w="3880" w:type="dxa"/>
            <w:vAlign w:val="bottom"/>
            <w:tcBorders>
              <w:right w:val="single" w:sz="8" w:color="auto"/>
            </w:tcBorders>
          </w:tcPr>
          <w:p>
            <w:pPr>
              <w:spacing w:after="0"/>
              <w:rPr>
                <w:sz w:val="16"/>
                <w:szCs w:val="16"/>
                <w:color w:val="auto"/>
              </w:rPr>
            </w:pPr>
          </w:p>
        </w:tc>
      </w:tr>
      <w:tr>
        <w:trPr>
          <w:trHeight w:val="203"/>
        </w:trPr>
        <w:tc>
          <w:tcPr>
            <w:tcW w:w="1280" w:type="dxa"/>
            <w:vAlign w:val="bottom"/>
            <w:tcBorders>
              <w:left w:val="single" w:sz="8" w:color="auto"/>
              <w:right w:val="single" w:sz="8" w:color="auto"/>
            </w:tcBorders>
          </w:tcPr>
          <w:p>
            <w:pPr>
              <w:spacing w:after="0"/>
              <w:rPr>
                <w:sz w:val="17"/>
                <w:szCs w:val="17"/>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Note: all prices below are to be expressed in this currency.</w:t>
            </w:r>
          </w:p>
        </w:tc>
        <w:tc>
          <w:tcPr>
            <w:tcW w:w="3880" w:type="dxa"/>
            <w:vAlign w:val="bottom"/>
            <w:tcBorders>
              <w:right w:val="single" w:sz="8" w:color="auto"/>
            </w:tcBorders>
          </w:tcPr>
          <w:p>
            <w:pPr>
              <w:spacing w:after="0"/>
              <w:rPr>
                <w:sz w:val="17"/>
                <w:szCs w:val="17"/>
                <w:color w:val="auto"/>
              </w:rPr>
            </w:pPr>
          </w:p>
        </w:tc>
      </w:tr>
      <w:tr>
        <w:trPr>
          <w:trHeight w:val="62"/>
        </w:trPr>
        <w:tc>
          <w:tcPr>
            <w:tcW w:w="1280" w:type="dxa"/>
            <w:vAlign w:val="bottom"/>
            <w:tcBorders>
              <w:left w:val="single" w:sz="8" w:color="auto"/>
              <w:bottom w:val="single" w:sz="8" w:color="auto"/>
              <w:right w:val="single" w:sz="8" w:color="auto"/>
            </w:tcBorders>
          </w:tcPr>
          <w:p>
            <w:pPr>
              <w:spacing w:after="0"/>
              <w:rPr>
                <w:sz w:val="5"/>
                <w:szCs w:val="5"/>
                <w:color w:val="auto"/>
              </w:rPr>
            </w:pPr>
          </w:p>
        </w:tc>
        <w:tc>
          <w:tcPr>
            <w:tcW w:w="6100" w:type="dxa"/>
            <w:vAlign w:val="bottom"/>
            <w:tcBorders>
              <w:bottom w:val="single" w:sz="8" w:color="auto"/>
              <w:right w:val="single" w:sz="8" w:color="auto"/>
            </w:tcBorders>
          </w:tcPr>
          <w:p>
            <w:pPr>
              <w:spacing w:after="0"/>
              <w:rPr>
                <w:sz w:val="5"/>
                <w:szCs w:val="5"/>
                <w:color w:val="auto"/>
              </w:rPr>
            </w:pPr>
          </w:p>
        </w:tc>
        <w:tc>
          <w:tcPr>
            <w:tcW w:w="3880" w:type="dxa"/>
            <w:vAlign w:val="bottom"/>
            <w:tcBorders>
              <w:bottom w:val="single" w:sz="8" w:color="auto"/>
              <w:right w:val="single" w:sz="8" w:color="auto"/>
            </w:tcBorders>
          </w:tcPr>
          <w:p>
            <w:pPr>
              <w:spacing w:after="0"/>
              <w:rPr>
                <w:sz w:val="5"/>
                <w:szCs w:val="5"/>
                <w:color w:val="auto"/>
              </w:rPr>
            </w:pPr>
          </w:p>
        </w:tc>
      </w:tr>
      <w:tr>
        <w:trPr>
          <w:trHeight w:val="281"/>
        </w:trPr>
        <w:tc>
          <w:tcPr>
            <w:tcW w:w="12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3A.12</w:t>
            </w: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*Reason for buy-back</w:t>
            </w:r>
          </w:p>
        </w:tc>
        <w:tc>
          <w:tcPr>
            <w:tcW w:w="3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To enhance shareholder value</w:t>
            </w:r>
          </w:p>
        </w:tc>
      </w:tr>
      <w:tr>
        <w:trPr>
          <w:trHeight w:val="190"/>
        </w:trPr>
        <w:tc>
          <w:tcPr>
            <w:tcW w:w="1280" w:type="dxa"/>
            <w:vAlign w:val="bottom"/>
            <w:tcBorders>
              <w:left w:val="single" w:sz="8" w:color="auto"/>
              <w:right w:val="single" w:sz="8" w:color="auto"/>
            </w:tcBorders>
          </w:tcPr>
          <w:p>
            <w:pPr>
              <w:spacing w:after="0"/>
              <w:rPr>
                <w:sz w:val="16"/>
                <w:szCs w:val="16"/>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Answer this question if your response to Q 2.1 is “Other buy-back”.</w:t>
            </w:r>
          </w:p>
        </w:tc>
        <w:tc>
          <w:tcPr>
            <w:tcW w:w="3880" w:type="dxa"/>
            <w:vAlign w:val="bottom"/>
            <w:tcBorders>
              <w:right w:val="single" w:sz="8" w:color="auto"/>
            </w:tcBorders>
          </w:tcPr>
          <w:p>
            <w:pPr>
              <w:spacing w:after="0"/>
              <w:rPr>
                <w:sz w:val="16"/>
                <w:szCs w:val="16"/>
                <w:color w:val="auto"/>
              </w:rPr>
            </w:pPr>
          </w:p>
        </w:tc>
      </w:tr>
      <w:tr>
        <w:trPr>
          <w:trHeight w:val="62"/>
        </w:trPr>
        <w:tc>
          <w:tcPr>
            <w:tcW w:w="1280" w:type="dxa"/>
            <w:vAlign w:val="bottom"/>
            <w:tcBorders>
              <w:left w:val="single" w:sz="8" w:color="auto"/>
              <w:bottom w:val="single" w:sz="8" w:color="auto"/>
              <w:right w:val="single" w:sz="8" w:color="auto"/>
            </w:tcBorders>
          </w:tcPr>
          <w:p>
            <w:pPr>
              <w:spacing w:after="0"/>
              <w:rPr>
                <w:sz w:val="5"/>
                <w:szCs w:val="5"/>
                <w:color w:val="auto"/>
              </w:rPr>
            </w:pPr>
          </w:p>
        </w:tc>
        <w:tc>
          <w:tcPr>
            <w:tcW w:w="6100" w:type="dxa"/>
            <w:vAlign w:val="bottom"/>
            <w:tcBorders>
              <w:bottom w:val="single" w:sz="8" w:color="auto"/>
              <w:right w:val="single" w:sz="8" w:color="auto"/>
            </w:tcBorders>
          </w:tcPr>
          <w:p>
            <w:pPr>
              <w:spacing w:after="0"/>
              <w:rPr>
                <w:sz w:val="5"/>
                <w:szCs w:val="5"/>
                <w:color w:val="auto"/>
              </w:rPr>
            </w:pPr>
          </w:p>
        </w:tc>
        <w:tc>
          <w:tcPr>
            <w:tcW w:w="3880" w:type="dxa"/>
            <w:vAlign w:val="bottom"/>
            <w:tcBorders>
              <w:bottom w:val="single" w:sz="8" w:color="auto"/>
              <w:right w:val="single" w:sz="8" w:color="auto"/>
            </w:tcBorders>
          </w:tcPr>
          <w:p>
            <w:pPr>
              <w:spacing w:after="0"/>
              <w:rPr>
                <w:sz w:val="5"/>
                <w:szCs w:val="5"/>
                <w:color w:val="auto"/>
              </w:rPr>
            </w:pPr>
          </w:p>
        </w:tc>
      </w:tr>
    </w:tbl>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5"/>
          <w:szCs w:val="25"/>
          <w:color w:val="auto"/>
        </w:rPr>
        <w:t>Part 3B – Buy-back restrictions and conditions</w:t>
      </w:r>
    </w:p>
    <w:p>
      <w:pPr>
        <w:spacing w:after="0" w:line="200" w:lineRule="exact"/>
        <w:rPr>
          <w:sz w:val="20"/>
          <w:szCs w:val="20"/>
          <w:color w:val="auto"/>
        </w:rPr>
      </w:pPr>
    </w:p>
    <w:p>
      <w:pPr>
        <w:spacing w:after="0" w:line="217" w:lineRule="exact"/>
        <w:rPr>
          <w:sz w:val="20"/>
          <w:szCs w:val="20"/>
          <w:color w:val="auto"/>
        </w:rPr>
      </w:pPr>
    </w:p>
    <w:tbl>
      <w:tblPr>
        <w:tblLayout w:type="fixed"/>
        <w:tblInd w:w="10" w:type="dxa"/>
        <w:tblCellMar>
          <w:top w:w="0" w:type="dxa"/>
          <w:left w:w="0" w:type="dxa"/>
          <w:bottom w:w="0" w:type="dxa"/>
          <w:right w:w="0" w:type="dxa"/>
        </w:tblCellMar>
      </w:tblPr>
      <w:tr>
        <w:trPr>
          <w:trHeight w:val="301"/>
        </w:trPr>
        <w:tc>
          <w:tcPr>
            <w:tcW w:w="128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3B.1</w:t>
            </w:r>
          </w:p>
        </w:tc>
        <w:tc>
          <w:tcPr>
            <w:tcW w:w="6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*Does the buy-back require security holder approval?</w:t>
            </w:r>
          </w:p>
        </w:tc>
        <w:tc>
          <w:tcPr>
            <w:tcW w:w="388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No</w:t>
            </w:r>
          </w:p>
        </w:tc>
      </w:tr>
      <w:tr>
        <w:trPr>
          <w:trHeight w:val="204"/>
        </w:trPr>
        <w:tc>
          <w:tcPr>
            <w:tcW w:w="1280" w:type="dxa"/>
            <w:vAlign w:val="bottom"/>
            <w:tcBorders>
              <w:left w:val="single" w:sz="8" w:color="auto"/>
              <w:right w:val="single" w:sz="8" w:color="auto"/>
            </w:tcBorders>
          </w:tcPr>
          <w:p>
            <w:pPr>
              <w:spacing w:after="0"/>
              <w:rPr>
                <w:sz w:val="17"/>
                <w:szCs w:val="17"/>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Disregard any security holder approval that has already been obtained.</w:t>
            </w:r>
          </w:p>
        </w:tc>
        <w:tc>
          <w:tcPr>
            <w:tcW w:w="3880" w:type="dxa"/>
            <w:vAlign w:val="bottom"/>
            <w:tcBorders>
              <w:right w:val="single" w:sz="8" w:color="auto"/>
            </w:tcBorders>
          </w:tcPr>
          <w:p>
            <w:pPr>
              <w:spacing w:after="0"/>
              <w:rPr>
                <w:sz w:val="17"/>
                <w:szCs w:val="17"/>
                <w:color w:val="auto"/>
              </w:rPr>
            </w:pPr>
          </w:p>
        </w:tc>
      </w:tr>
      <w:tr>
        <w:trPr>
          <w:trHeight w:val="48"/>
        </w:trPr>
        <w:tc>
          <w:tcPr>
            <w:tcW w:w="1280" w:type="dxa"/>
            <w:vAlign w:val="bottom"/>
            <w:tcBorders>
              <w:left w:val="single" w:sz="8" w:color="auto"/>
              <w:bottom w:val="single" w:sz="8" w:color="auto"/>
              <w:right w:val="single" w:sz="8" w:color="auto"/>
            </w:tcBorders>
          </w:tcPr>
          <w:p>
            <w:pPr>
              <w:spacing w:after="0"/>
              <w:rPr>
                <w:sz w:val="4"/>
                <w:szCs w:val="4"/>
                <w:color w:val="auto"/>
              </w:rPr>
            </w:pPr>
          </w:p>
        </w:tc>
        <w:tc>
          <w:tcPr>
            <w:tcW w:w="6100" w:type="dxa"/>
            <w:vAlign w:val="bottom"/>
            <w:tcBorders>
              <w:bottom w:val="single" w:sz="8" w:color="auto"/>
              <w:right w:val="single" w:sz="8" w:color="auto"/>
            </w:tcBorders>
          </w:tcPr>
          <w:p>
            <w:pPr>
              <w:spacing w:after="0"/>
              <w:rPr>
                <w:sz w:val="4"/>
                <w:szCs w:val="4"/>
                <w:color w:val="auto"/>
              </w:rPr>
            </w:pPr>
          </w:p>
        </w:tc>
        <w:tc>
          <w:tcPr>
            <w:tcW w:w="3880" w:type="dxa"/>
            <w:vAlign w:val="bottom"/>
            <w:tcBorders>
              <w:bottom w:val="single" w:sz="8" w:color="auto"/>
              <w:right w:val="single" w:sz="8" w:color="auto"/>
            </w:tcBorders>
          </w:tcPr>
          <w:p>
            <w:pPr>
              <w:spacing w:after="0"/>
              <w:rPr>
                <w:sz w:val="4"/>
                <w:szCs w:val="4"/>
                <w:color w:val="auto"/>
              </w:rPr>
            </w:pPr>
          </w:p>
        </w:tc>
      </w:tr>
      <w:tr>
        <w:trPr>
          <w:trHeight w:val="281"/>
        </w:trPr>
        <w:tc>
          <w:tcPr>
            <w:tcW w:w="12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3B.2</w:t>
            </w: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*Are there any restrictions on foreign participation in the buy-back</w:t>
            </w:r>
          </w:p>
        </w:tc>
        <w:tc>
          <w:tcPr>
            <w:tcW w:w="3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No</w:t>
            </w:r>
          </w:p>
        </w:tc>
      </w:tr>
      <w:tr>
        <w:trPr>
          <w:trHeight w:val="158"/>
        </w:trPr>
        <w:tc>
          <w:tcPr>
            <w:tcW w:w="1280" w:type="dxa"/>
            <w:vAlign w:val="bottom"/>
            <w:tcBorders>
              <w:left w:val="single" w:sz="8" w:color="auto"/>
              <w:right w:val="single" w:sz="8" w:color="auto"/>
            </w:tcBorders>
          </w:tcPr>
          <w:p>
            <w:pPr>
              <w:spacing w:after="0"/>
              <w:rPr>
                <w:sz w:val="13"/>
                <w:szCs w:val="13"/>
                <w:color w:val="auto"/>
              </w:rPr>
            </w:pPr>
          </w:p>
        </w:tc>
        <w:tc>
          <w:tcPr>
            <w:tcW w:w="6100" w:type="dxa"/>
            <w:vAlign w:val="bottom"/>
            <w:tcBorders>
              <w:right w:val="single" w:sz="8" w:color="auto"/>
            </w:tcBorders>
          </w:tcPr>
          <w:p>
            <w:pPr>
              <w:ind w:left="60"/>
              <w:spacing w:after="0" w:line="158" w:lineRule="exact"/>
              <w:rPr>
                <w:sz w:val="20"/>
                <w:szCs w:val="20"/>
                <w:color w:val="auto"/>
              </w:rPr>
            </w:pPr>
            <w:r>
              <w:rPr>
                <w:rFonts w:ascii="Arial" w:cs="Arial" w:eastAsia="Arial" w:hAnsi="Arial"/>
                <w:sz w:val="14"/>
                <w:szCs w:val="14"/>
                <w:i w:val="1"/>
                <w:iCs w:val="1"/>
                <w:color w:val="auto"/>
              </w:rPr>
              <w:t>Answer this question if your response to Q 2.1 is “Equal access scheme buy-back”,</w:t>
            </w:r>
          </w:p>
        </w:tc>
        <w:tc>
          <w:tcPr>
            <w:tcW w:w="3880" w:type="dxa"/>
            <w:vAlign w:val="bottom"/>
            <w:tcBorders>
              <w:right w:val="single" w:sz="8" w:color="auto"/>
            </w:tcBorders>
          </w:tcPr>
          <w:p>
            <w:pPr>
              <w:spacing w:after="0"/>
              <w:rPr>
                <w:sz w:val="13"/>
                <w:szCs w:val="13"/>
                <w:color w:val="auto"/>
              </w:rPr>
            </w:pPr>
          </w:p>
        </w:tc>
      </w:tr>
      <w:tr>
        <w:trPr>
          <w:trHeight w:val="188"/>
        </w:trPr>
        <w:tc>
          <w:tcPr>
            <w:tcW w:w="1280" w:type="dxa"/>
            <w:vAlign w:val="bottom"/>
            <w:tcBorders>
              <w:left w:val="single" w:sz="8" w:color="auto"/>
              <w:right w:val="single" w:sz="8" w:color="auto"/>
            </w:tcBorders>
          </w:tcPr>
          <w:p>
            <w:pPr>
              <w:spacing w:after="0"/>
              <w:rPr>
                <w:sz w:val="16"/>
                <w:szCs w:val="16"/>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“Selective buy-back” or “Other buy-back”.</w:t>
            </w:r>
          </w:p>
        </w:tc>
        <w:tc>
          <w:tcPr>
            <w:tcW w:w="3880" w:type="dxa"/>
            <w:vAlign w:val="bottom"/>
            <w:tcBorders>
              <w:right w:val="single" w:sz="8" w:color="auto"/>
            </w:tcBorders>
          </w:tcPr>
          <w:p>
            <w:pPr>
              <w:spacing w:after="0"/>
              <w:rPr>
                <w:sz w:val="16"/>
                <w:szCs w:val="16"/>
                <w:color w:val="auto"/>
              </w:rPr>
            </w:pPr>
          </w:p>
        </w:tc>
      </w:tr>
      <w:tr>
        <w:trPr>
          <w:trHeight w:val="55"/>
        </w:trPr>
        <w:tc>
          <w:tcPr>
            <w:tcW w:w="1280" w:type="dxa"/>
            <w:vAlign w:val="bottom"/>
            <w:tcBorders>
              <w:left w:val="single" w:sz="8" w:color="auto"/>
              <w:bottom w:val="single" w:sz="8" w:color="auto"/>
              <w:right w:val="single" w:sz="8" w:color="auto"/>
            </w:tcBorders>
          </w:tcPr>
          <w:p>
            <w:pPr>
              <w:spacing w:after="0"/>
              <w:rPr>
                <w:sz w:val="4"/>
                <w:szCs w:val="4"/>
                <w:color w:val="auto"/>
              </w:rPr>
            </w:pPr>
          </w:p>
        </w:tc>
        <w:tc>
          <w:tcPr>
            <w:tcW w:w="6100" w:type="dxa"/>
            <w:vAlign w:val="bottom"/>
            <w:tcBorders>
              <w:bottom w:val="single" w:sz="8" w:color="auto"/>
              <w:right w:val="single" w:sz="8" w:color="auto"/>
            </w:tcBorders>
          </w:tcPr>
          <w:p>
            <w:pPr>
              <w:spacing w:after="0"/>
              <w:rPr>
                <w:sz w:val="4"/>
                <w:szCs w:val="4"/>
                <w:color w:val="auto"/>
              </w:rPr>
            </w:pPr>
          </w:p>
        </w:tc>
        <w:tc>
          <w:tcPr>
            <w:tcW w:w="3880" w:type="dxa"/>
            <w:vAlign w:val="bottom"/>
            <w:tcBorders>
              <w:bottom w:val="single" w:sz="8" w:color="auto"/>
              <w:right w:val="single" w:sz="8" w:color="auto"/>
            </w:tcBorders>
          </w:tcPr>
          <w:p>
            <w:pPr>
              <w:spacing w:after="0"/>
              <w:rPr>
                <w:sz w:val="4"/>
                <w:szCs w:val="4"/>
                <w:color w:val="auto"/>
              </w:rPr>
            </w:pPr>
          </w:p>
        </w:tc>
      </w:tr>
      <w:tr>
        <w:trPr>
          <w:trHeight w:val="231"/>
        </w:trPr>
        <w:tc>
          <w:tcPr>
            <w:tcW w:w="12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3B.3</w:t>
            </w: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*Are there any other conditions that need to be satisfied before the buy-</w:t>
            </w:r>
          </w:p>
        </w:tc>
        <w:tc>
          <w:tcPr>
            <w:tcW w:w="3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No</w:t>
            </w:r>
          </w:p>
        </w:tc>
      </w:tr>
      <w:tr>
        <w:trPr>
          <w:trHeight w:val="239"/>
        </w:trPr>
        <w:tc>
          <w:tcPr>
            <w:tcW w:w="1280" w:type="dxa"/>
            <w:vAlign w:val="bottom"/>
            <w:tcBorders>
              <w:left w:val="single" w:sz="8" w:color="auto"/>
              <w:right w:val="single" w:sz="8" w:color="auto"/>
            </w:tcBorders>
          </w:tcPr>
          <w:p>
            <w:pPr>
              <w:spacing w:after="0"/>
              <w:rPr>
                <w:sz w:val="20"/>
                <w:szCs w:val="20"/>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back offer becomes unconditional</w:t>
            </w:r>
          </w:p>
        </w:tc>
        <w:tc>
          <w:tcPr>
            <w:tcW w:w="3880" w:type="dxa"/>
            <w:vAlign w:val="bottom"/>
            <w:tcBorders>
              <w:right w:val="single" w:sz="8" w:color="auto"/>
            </w:tcBorders>
          </w:tcPr>
          <w:p>
            <w:pPr>
              <w:spacing w:after="0"/>
              <w:rPr>
                <w:sz w:val="20"/>
                <w:szCs w:val="20"/>
                <w:color w:val="auto"/>
              </w:rPr>
            </w:pPr>
          </w:p>
        </w:tc>
      </w:tr>
      <w:tr>
        <w:trPr>
          <w:trHeight w:val="151"/>
        </w:trPr>
        <w:tc>
          <w:tcPr>
            <w:tcW w:w="1280" w:type="dxa"/>
            <w:vAlign w:val="bottom"/>
            <w:tcBorders>
              <w:left w:val="single" w:sz="8" w:color="auto"/>
              <w:right w:val="single" w:sz="8" w:color="auto"/>
            </w:tcBorders>
          </w:tcPr>
          <w:p>
            <w:pPr>
              <w:spacing w:after="0"/>
              <w:rPr>
                <w:sz w:val="13"/>
                <w:szCs w:val="13"/>
                <w:color w:val="auto"/>
              </w:rPr>
            </w:pPr>
          </w:p>
        </w:tc>
        <w:tc>
          <w:tcPr>
            <w:tcW w:w="6100" w:type="dxa"/>
            <w:vAlign w:val="bottom"/>
            <w:tcBorders>
              <w:right w:val="single" w:sz="8" w:color="auto"/>
            </w:tcBorders>
          </w:tcPr>
          <w:p>
            <w:pPr>
              <w:ind w:left="60"/>
              <w:spacing w:after="0" w:line="151" w:lineRule="exact"/>
              <w:rPr>
                <w:sz w:val="20"/>
                <w:szCs w:val="20"/>
                <w:color w:val="auto"/>
              </w:rPr>
            </w:pPr>
            <w:r>
              <w:rPr>
                <w:rFonts w:ascii="Arial" w:cs="Arial" w:eastAsia="Arial" w:hAnsi="Arial"/>
                <w:sz w:val="14"/>
                <w:szCs w:val="14"/>
                <w:i w:val="1"/>
                <w:iCs w:val="1"/>
                <w:color w:val="auto"/>
              </w:rPr>
              <w:t>Answer this question if your response to Q 2.1 is “Employee share scheme buy-back, “Equal</w:t>
            </w:r>
          </w:p>
        </w:tc>
        <w:tc>
          <w:tcPr>
            <w:tcW w:w="3880" w:type="dxa"/>
            <w:vAlign w:val="bottom"/>
            <w:tcBorders>
              <w:right w:val="single" w:sz="8" w:color="auto"/>
            </w:tcBorders>
          </w:tcPr>
          <w:p>
            <w:pPr>
              <w:spacing w:after="0"/>
              <w:rPr>
                <w:sz w:val="13"/>
                <w:szCs w:val="13"/>
                <w:color w:val="auto"/>
              </w:rPr>
            </w:pPr>
          </w:p>
        </w:tc>
      </w:tr>
      <w:tr>
        <w:trPr>
          <w:trHeight w:val="188"/>
        </w:trPr>
        <w:tc>
          <w:tcPr>
            <w:tcW w:w="1280" w:type="dxa"/>
            <w:vAlign w:val="bottom"/>
            <w:tcBorders>
              <w:left w:val="single" w:sz="8" w:color="auto"/>
              <w:right w:val="single" w:sz="8" w:color="auto"/>
            </w:tcBorders>
          </w:tcPr>
          <w:p>
            <w:pPr>
              <w:spacing w:after="0"/>
              <w:rPr>
                <w:sz w:val="16"/>
                <w:szCs w:val="16"/>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access scheme buy-back”, “Selective buy-back” or “Other buy-back”</w:t>
            </w:r>
          </w:p>
        </w:tc>
        <w:tc>
          <w:tcPr>
            <w:tcW w:w="3880" w:type="dxa"/>
            <w:vAlign w:val="bottom"/>
            <w:tcBorders>
              <w:right w:val="single" w:sz="8" w:color="auto"/>
            </w:tcBorders>
          </w:tcPr>
          <w:p>
            <w:pPr>
              <w:spacing w:after="0"/>
              <w:rPr>
                <w:sz w:val="16"/>
                <w:szCs w:val="16"/>
                <w:color w:val="auto"/>
              </w:rPr>
            </w:pPr>
          </w:p>
        </w:tc>
      </w:tr>
      <w:tr>
        <w:trPr>
          <w:trHeight w:val="49"/>
        </w:trPr>
        <w:tc>
          <w:tcPr>
            <w:tcW w:w="1280" w:type="dxa"/>
            <w:vAlign w:val="bottom"/>
            <w:tcBorders>
              <w:left w:val="single" w:sz="8" w:color="auto"/>
              <w:bottom w:val="single" w:sz="8" w:color="auto"/>
              <w:right w:val="single" w:sz="8" w:color="auto"/>
            </w:tcBorders>
          </w:tcPr>
          <w:p>
            <w:pPr>
              <w:spacing w:after="0"/>
              <w:rPr>
                <w:sz w:val="4"/>
                <w:szCs w:val="4"/>
                <w:color w:val="auto"/>
              </w:rPr>
            </w:pPr>
          </w:p>
        </w:tc>
        <w:tc>
          <w:tcPr>
            <w:tcW w:w="6100" w:type="dxa"/>
            <w:vAlign w:val="bottom"/>
            <w:tcBorders>
              <w:bottom w:val="single" w:sz="8" w:color="auto"/>
              <w:right w:val="single" w:sz="8" w:color="auto"/>
            </w:tcBorders>
          </w:tcPr>
          <w:p>
            <w:pPr>
              <w:spacing w:after="0"/>
              <w:rPr>
                <w:sz w:val="4"/>
                <w:szCs w:val="4"/>
                <w:color w:val="auto"/>
              </w:rPr>
            </w:pPr>
          </w:p>
        </w:tc>
        <w:tc>
          <w:tcPr>
            <w:tcW w:w="3880" w:type="dxa"/>
            <w:vAlign w:val="bottom"/>
            <w:tcBorders>
              <w:bottom w:val="single" w:sz="8" w:color="auto"/>
              <w:right w:val="single" w:sz="8" w:color="auto"/>
            </w:tcBorders>
          </w:tcPr>
          <w:p>
            <w:pPr>
              <w:spacing w:after="0"/>
              <w:rPr>
                <w:sz w:val="4"/>
                <w:szCs w:val="4"/>
                <w:color w:val="auto"/>
              </w:rPr>
            </w:pPr>
          </w:p>
        </w:tc>
      </w:tr>
    </w:tbl>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5"/>
          <w:szCs w:val="25"/>
          <w:color w:val="auto"/>
        </w:rPr>
        <w:t>Part 3C - Key 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40575" cy="5829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0575" cy="582930"/>
                    </a:xfrm>
                    <a:prstGeom prst="rect">
                      <a:avLst/>
                    </a:prstGeom>
                    <a:noFill/>
                  </pic:spPr>
                </pic:pic>
              </a:graphicData>
            </a:graphic>
          </wp:anchor>
        </w:drawing>
      </w:r>
    </w:p>
    <w:p>
      <w:pPr>
        <w:spacing w:after="0" w:line="196"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Employee Share Scheme, Selective and Other Buy-Backs</w:t>
      </w:r>
    </w:p>
    <w:p>
      <w:pPr>
        <w:spacing w:after="0" w:line="40" w:lineRule="exact"/>
        <w:rPr>
          <w:sz w:val="20"/>
          <w:szCs w:val="20"/>
          <w:color w:val="auto"/>
        </w:rPr>
      </w:pPr>
    </w:p>
    <w:p>
      <w:pPr>
        <w:ind w:left="80"/>
        <w:spacing w:after="0"/>
        <w:rPr>
          <w:sz w:val="20"/>
          <w:szCs w:val="20"/>
          <w:color w:val="auto"/>
        </w:rPr>
      </w:pPr>
      <w:r>
        <w:rPr>
          <w:rFonts w:ascii="Arial" w:cs="Arial" w:eastAsia="Arial" w:hAnsi="Arial"/>
          <w:sz w:val="14"/>
          <w:szCs w:val="14"/>
          <w:i w:val="1"/>
          <w:iCs w:val="1"/>
          <w:color w:val="auto"/>
        </w:rPr>
        <w:t>Answer the questions in this part if your response to Q 2.1 is “Employee share scheme buy-back”, “Selective buy-back” or “Other buy-back”</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309"/>
        </w:trPr>
        <w:tc>
          <w:tcPr>
            <w:tcW w:w="128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3C.1</w:t>
            </w:r>
          </w:p>
        </w:tc>
        <w:tc>
          <w:tcPr>
            <w:tcW w:w="6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Anticipated date buy-back will occur</w:t>
            </w:r>
          </w:p>
        </w:tc>
        <w:tc>
          <w:tcPr>
            <w:tcW w:w="3880" w:type="dxa"/>
            <w:vAlign w:val="bottom"/>
            <w:tcBorders>
              <w:top w:val="single" w:sz="8" w:color="auto"/>
            </w:tcBorders>
          </w:tcPr>
          <w:p>
            <w:pPr>
              <w:jc w:val="right"/>
              <w:ind w:right="2930"/>
              <w:spacing w:after="0"/>
              <w:rPr>
                <w:sz w:val="20"/>
                <w:szCs w:val="20"/>
                <w:color w:val="auto"/>
              </w:rPr>
            </w:pPr>
            <w:r>
              <w:rPr>
                <w:rFonts w:ascii="Arial" w:cs="Arial" w:eastAsia="Arial" w:hAnsi="Arial"/>
                <w:sz w:val="18"/>
                <w:szCs w:val="18"/>
                <w:color w:val="auto"/>
              </w:rPr>
              <w:t>22/9/2021</w:t>
            </w:r>
          </w:p>
        </w:tc>
      </w:tr>
      <w:tr>
        <w:trPr>
          <w:trHeight w:val="42"/>
        </w:trPr>
        <w:tc>
          <w:tcPr>
            <w:tcW w:w="1280" w:type="dxa"/>
            <w:vAlign w:val="bottom"/>
            <w:tcBorders>
              <w:bottom w:val="single" w:sz="8" w:color="auto"/>
              <w:right w:val="single" w:sz="8" w:color="auto"/>
            </w:tcBorders>
          </w:tcPr>
          <w:p>
            <w:pPr>
              <w:spacing w:after="0"/>
              <w:rPr>
                <w:sz w:val="3"/>
                <w:szCs w:val="3"/>
                <w:color w:val="auto"/>
              </w:rPr>
            </w:pPr>
          </w:p>
        </w:tc>
        <w:tc>
          <w:tcPr>
            <w:tcW w:w="6100" w:type="dxa"/>
            <w:vAlign w:val="bottom"/>
            <w:tcBorders>
              <w:bottom w:val="single" w:sz="8" w:color="auto"/>
              <w:right w:val="single" w:sz="8" w:color="auto"/>
            </w:tcBorders>
          </w:tcPr>
          <w:p>
            <w:pPr>
              <w:spacing w:after="0"/>
              <w:rPr>
                <w:sz w:val="3"/>
                <w:szCs w:val="3"/>
                <w:color w:val="auto"/>
              </w:rPr>
            </w:pPr>
          </w:p>
        </w:tc>
        <w:tc>
          <w:tcPr>
            <w:tcW w:w="3880" w:type="dxa"/>
            <w:vAlign w:val="bottom"/>
            <w:tcBorders>
              <w:bottom w:val="single" w:sz="8" w:color="auto"/>
            </w:tcBorders>
          </w:tcPr>
          <w:p>
            <w:pPr>
              <w:spacing w:after="0"/>
              <w:rPr>
                <w:sz w:val="3"/>
                <w:szCs w:val="3"/>
                <w:color w:val="auto"/>
              </w:rPr>
            </w:pPr>
          </w:p>
        </w:tc>
      </w:tr>
    </w:tbl>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25"/>
          <w:szCs w:val="25"/>
          <w:color w:val="auto"/>
        </w:rPr>
        <w:t>Part 3D – Other information</w:t>
      </w:r>
    </w:p>
    <w:p>
      <w:pPr>
        <w:spacing w:after="0" w:line="134"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124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3D.1</w:t>
            </w:r>
          </w:p>
        </w:tc>
        <w:tc>
          <w:tcPr>
            <w:tcW w:w="612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Any other information the entity wishes to notify to ASX about the buy-back</w:t>
            </w:r>
          </w:p>
        </w:tc>
        <w:tc>
          <w:tcPr>
            <w:tcW w:w="3900" w:type="dxa"/>
            <w:vAlign w:val="bottom"/>
            <w:tcBorders>
              <w:top w:val="single" w:sz="8" w:color="auto"/>
              <w:bottom w:val="single" w:sz="8" w:color="auto"/>
              <w:right w:val="single" w:sz="8" w:color="auto"/>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728980</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80"/>
        <w:spacing w:after="0"/>
        <w:rPr>
          <w:sz w:val="20"/>
          <w:szCs w:val="20"/>
          <w:color w:val="auto"/>
        </w:rPr>
      </w:pPr>
      <w:r>
        <w:rPr>
          <w:rFonts w:ascii="Arial" w:cs="Arial" w:eastAsia="Arial" w:hAnsi="Arial"/>
          <w:sz w:val="16"/>
          <w:szCs w:val="16"/>
          <w:color w:val="auto"/>
        </w:rPr>
        <w:t>+ See chapter 19 for defined terms</w:t>
      </w:r>
    </w:p>
    <w:p>
      <w:pPr>
        <w:spacing w:after="0" w:line="86" w:lineRule="exact"/>
        <w:rPr>
          <w:sz w:val="20"/>
          <w:szCs w:val="20"/>
          <w:color w:val="auto"/>
        </w:rPr>
      </w:pPr>
    </w:p>
    <w:p>
      <w:pPr>
        <w:spacing w:after="0"/>
        <w:tabs>
          <w:tab w:leader="none" w:pos="1240" w:val="left"/>
        </w:tabs>
        <w:rPr>
          <w:sz w:val="20"/>
          <w:szCs w:val="20"/>
          <w:color w:val="auto"/>
        </w:rPr>
      </w:pPr>
      <w:r>
        <w:rPr>
          <w:rFonts w:ascii="Arial" w:cs="Arial" w:eastAsia="Arial" w:hAnsi="Arial"/>
          <w:sz w:val="16"/>
          <w:szCs w:val="16"/>
          <w:i w:val="1"/>
          <w:iCs w:val="1"/>
          <w:color w:val="auto"/>
        </w:rPr>
        <w:t>5 June 2021</w:t>
      </w:r>
      <w:r>
        <w:rPr>
          <w:sz w:val="20"/>
          <w:szCs w:val="20"/>
          <w:color w:val="auto"/>
        </w:rPr>
        <w:tab/>
      </w:r>
      <w:r>
        <w:rPr>
          <w:rFonts w:ascii="Arial" w:cs="Arial" w:eastAsia="Arial" w:hAnsi="Arial"/>
          <w:sz w:val="16"/>
          <w:szCs w:val="16"/>
          <w:color w:val="auto"/>
        </w:rPr>
        <w:t>Page 3</w:t>
      </w:r>
    </w:p>
    <w:p>
      <w:pPr>
        <w:sectPr>
          <w:pgSz w:w="11900" w:h="16838" w:orient="portrait"/>
          <w:cols w:equalWidth="0" w:num="1">
            <w:col w:w="11260"/>
          </w:cols>
          <w:pgMar w:left="320" w:top="283" w:right="319" w:bottom="1440" w:gutter="0" w:footer="0" w:header="0"/>
        </w:sectPr>
      </w:pPr>
    </w:p>
    <w:bookmarkStart w:id="10" w:name="page11"/>
    <w:bookmarkEnd w:id="10"/>
    <w:p>
      <w:pPr>
        <w:ind w:left="440"/>
        <w:spacing w:after="0"/>
        <w:rPr>
          <w:sz w:val="20"/>
          <w:szCs w:val="20"/>
          <w:color w:val="auto"/>
        </w:rPr>
      </w:pPr>
      <w:r>
        <w:rPr>
          <w:rFonts w:ascii="Arial" w:cs="Arial" w:eastAsia="Arial" w:hAnsi="Arial"/>
          <w:sz w:val="18"/>
          <w:szCs w:val="18"/>
          <w:b w:val="1"/>
          <w:bCs w:val="1"/>
          <w:color w:val="auto"/>
        </w:rPr>
        <w:t>Appendix 3C</w:t>
      </w:r>
    </w:p>
    <w:p>
      <w:pPr>
        <w:spacing w:after="0" w:line="14"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Notification of buy-back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25"/>
          <w:szCs w:val="25"/>
          <w:color w:val="auto"/>
        </w:rPr>
        <w:t>Part 4 – Daily buy-back notification</w:t>
      </w:r>
    </w:p>
    <w:p>
      <w:pPr>
        <w:spacing w:after="0" w:line="106" w:lineRule="exact"/>
        <w:rPr>
          <w:sz w:val="20"/>
          <w:szCs w:val="20"/>
          <w:color w:val="auto"/>
        </w:rPr>
      </w:pPr>
    </w:p>
    <w:p>
      <w:pPr>
        <w:ind w:right="60"/>
        <w:spacing w:after="0" w:line="241" w:lineRule="auto"/>
        <w:rPr>
          <w:sz w:val="20"/>
          <w:szCs w:val="20"/>
          <w:color w:val="auto"/>
        </w:rPr>
      </w:pPr>
      <w:r>
        <w:rPr>
          <w:rFonts w:ascii="Arial" w:cs="Arial" w:eastAsia="Arial" w:hAnsi="Arial"/>
          <w:sz w:val="14"/>
          <w:szCs w:val="14"/>
          <w:i w:val="1"/>
          <w:iCs w:val="1"/>
          <w:color w:val="auto"/>
        </w:rPr>
        <w:t>Answer the questions in this part if your response to Q 2.1 is “Employee share scheme buy-back”, “On-market buy-back”, “Equal access share scheme buy-back” or “Other buy-back”) and you are giving a daily buy-back notification under listing rule 3.8A.</w:t>
      </w:r>
    </w:p>
    <w:p>
      <w:pPr>
        <w:spacing w:after="0" w:line="14" w:lineRule="exact"/>
        <w:rPr>
          <w:sz w:val="20"/>
          <w:szCs w:val="20"/>
          <w:color w:val="auto"/>
        </w:rPr>
      </w:pPr>
    </w:p>
    <w:p>
      <w:pPr>
        <w:ind w:right="320"/>
        <w:spacing w:after="0" w:line="261" w:lineRule="auto"/>
        <w:rPr>
          <w:sz w:val="20"/>
          <w:szCs w:val="20"/>
          <w:color w:val="auto"/>
        </w:rPr>
      </w:pPr>
      <w:r>
        <w:rPr>
          <w:rFonts w:ascii="Arial" w:cs="Arial" w:eastAsia="Arial" w:hAnsi="Arial"/>
          <w:sz w:val="14"/>
          <w:szCs w:val="14"/>
          <w:i w:val="1"/>
          <w:iCs w:val="1"/>
          <w:color w:val="auto"/>
        </w:rPr>
        <w:t>A daily buy-back notification must be submitted for these types of buy-backs at least half an hour before the commencement of trading on the business day after any day on which securities are bought back (per listing rule 3.8A).</w:t>
      </w:r>
    </w:p>
    <w:p>
      <w:pPr>
        <w:spacing w:after="0" w:line="15"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1080" w:type="dxa"/>
            <w:vAlign w:val="bottom"/>
            <w:tcBorders>
              <w:top w:val="single" w:sz="8" w:color="auto"/>
              <w:left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4.1</w:t>
            </w:r>
          </w:p>
        </w:tc>
        <w:tc>
          <w:tcPr>
            <w:tcW w:w="360" w:type="dxa"/>
            <w:vAlign w:val="bottom"/>
            <w:tcBorders>
              <w:top w:val="single" w:sz="8" w:color="auto"/>
              <w:bottom w:val="single" w:sz="8" w:color="auto"/>
              <w:right w:val="single" w:sz="8" w:color="auto"/>
            </w:tcBorders>
          </w:tcPr>
          <w:p>
            <w:pPr>
              <w:spacing w:after="0"/>
              <w:rPr>
                <w:sz w:val="21"/>
                <w:szCs w:val="21"/>
                <w:color w:val="auto"/>
              </w:rPr>
            </w:pPr>
          </w:p>
        </w:tc>
        <w:tc>
          <w:tcPr>
            <w:tcW w:w="32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rPr>
              <w:t>*Date of this notification</w:t>
            </w:r>
          </w:p>
        </w:tc>
        <w:tc>
          <w:tcPr>
            <w:tcW w:w="3260" w:type="dxa"/>
            <w:vAlign w:val="bottom"/>
            <w:tcBorders>
              <w:top w:val="single" w:sz="8" w:color="auto"/>
              <w:bottom w:val="single" w:sz="8" w:color="auto"/>
              <w:right w:val="single" w:sz="8" w:color="auto"/>
            </w:tcBorders>
          </w:tcPr>
          <w:p>
            <w:pPr>
              <w:spacing w:after="0"/>
              <w:rPr>
                <w:sz w:val="21"/>
                <w:szCs w:val="21"/>
                <w:color w:val="auto"/>
              </w:rPr>
            </w:pPr>
          </w:p>
        </w:tc>
        <w:tc>
          <w:tcPr>
            <w:tcW w:w="330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02/11/2026</w:t>
            </w:r>
          </w:p>
        </w:tc>
      </w:tr>
      <w:tr>
        <w:trPr>
          <w:trHeight w:val="223"/>
        </w:trPr>
        <w:tc>
          <w:tcPr>
            <w:tcW w:w="108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4.2</w:t>
            </w:r>
          </w:p>
        </w:tc>
        <w:tc>
          <w:tcPr>
            <w:tcW w:w="360" w:type="dxa"/>
            <w:vAlign w:val="bottom"/>
            <w:tcBorders>
              <w:bottom w:val="single" w:sz="8" w:color="auto"/>
              <w:right w:val="single" w:sz="8" w:color="auto"/>
            </w:tcBorders>
          </w:tcPr>
          <w:p>
            <w:pPr>
              <w:spacing w:after="0"/>
              <w:rPr>
                <w:sz w:val="19"/>
                <w:szCs w:val="19"/>
                <w:color w:val="auto"/>
              </w:rPr>
            </w:pPr>
          </w:p>
        </w:tc>
        <w:tc>
          <w:tcPr>
            <w:tcW w:w="652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*Previous day on which +securities were bought back</w:t>
            </w:r>
          </w:p>
        </w:tc>
        <w:tc>
          <w:tcPr>
            <w:tcW w:w="3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30/10/2026</w:t>
            </w:r>
          </w:p>
        </w:tc>
      </w:tr>
      <w:tr>
        <w:trPr>
          <w:trHeight w:val="223"/>
        </w:trPr>
        <w:tc>
          <w:tcPr>
            <w:tcW w:w="1080" w:type="dxa"/>
            <w:vAlign w:val="bottom"/>
            <w:tcBorders>
              <w:left w:val="single" w:sz="8" w:color="auto"/>
              <w:bottom w:val="single" w:sz="8" w:color="auto"/>
            </w:tcBorders>
          </w:tcPr>
          <w:p>
            <w:pPr>
              <w:spacing w:after="0"/>
              <w:rPr>
                <w:sz w:val="19"/>
                <w:szCs w:val="19"/>
                <w:color w:val="auto"/>
              </w:rPr>
            </w:pPr>
          </w:p>
        </w:tc>
        <w:tc>
          <w:tcPr>
            <w:tcW w:w="360" w:type="dxa"/>
            <w:vAlign w:val="bottom"/>
            <w:tcBorders>
              <w:bottom w:val="single" w:sz="8" w:color="auto"/>
              <w:right w:val="single" w:sz="8" w:color="auto"/>
            </w:tcBorders>
          </w:tcPr>
          <w:p>
            <w:pPr>
              <w:spacing w:after="0"/>
              <w:rPr>
                <w:sz w:val="19"/>
                <w:szCs w:val="19"/>
                <w:color w:val="auto"/>
              </w:rPr>
            </w:pPr>
          </w:p>
        </w:tc>
        <w:tc>
          <w:tcPr>
            <w:tcW w:w="3260" w:type="dxa"/>
            <w:vAlign w:val="bottom"/>
            <w:tcBorders>
              <w:bottom w:val="single" w:sz="8" w:color="auto"/>
              <w:right w:val="single" w:sz="8" w:color="auto"/>
            </w:tcBorders>
          </w:tcPr>
          <w:p>
            <w:pPr>
              <w:spacing w:after="0"/>
              <w:rPr>
                <w:sz w:val="19"/>
                <w:szCs w:val="19"/>
                <w:color w:val="auto"/>
              </w:rPr>
            </w:pPr>
          </w:p>
        </w:tc>
        <w:tc>
          <w:tcPr>
            <w:tcW w:w="32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Before previous day</w:t>
            </w:r>
          </w:p>
        </w:tc>
        <w:tc>
          <w:tcPr>
            <w:tcW w:w="3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On previous day</w:t>
            </w:r>
          </w:p>
        </w:tc>
      </w:tr>
      <w:tr>
        <w:trPr>
          <w:trHeight w:val="177"/>
        </w:trPr>
        <w:tc>
          <w:tcPr>
            <w:tcW w:w="1080" w:type="dxa"/>
            <w:vAlign w:val="bottom"/>
            <w:tcBorders>
              <w:left w:val="single" w:sz="8" w:color="auto"/>
            </w:tcBorders>
          </w:tcPr>
          <w:p>
            <w:pPr>
              <w:ind w:left="80"/>
              <w:spacing w:after="0" w:line="177" w:lineRule="exact"/>
              <w:rPr>
                <w:sz w:val="20"/>
                <w:szCs w:val="20"/>
                <w:color w:val="auto"/>
              </w:rPr>
            </w:pPr>
            <w:r>
              <w:rPr>
                <w:rFonts w:ascii="Arial" w:cs="Arial" w:eastAsia="Arial" w:hAnsi="Arial"/>
                <w:sz w:val="18"/>
                <w:szCs w:val="18"/>
                <w:color w:val="auto"/>
              </w:rPr>
              <w:t>4.3</w:t>
            </w:r>
          </w:p>
        </w:tc>
        <w:tc>
          <w:tcPr>
            <w:tcW w:w="360" w:type="dxa"/>
            <w:vAlign w:val="bottom"/>
            <w:tcBorders>
              <w:right w:val="single" w:sz="8" w:color="auto"/>
            </w:tcBorders>
          </w:tcPr>
          <w:p>
            <w:pPr>
              <w:spacing w:after="0"/>
              <w:rPr>
                <w:sz w:val="15"/>
                <w:szCs w:val="15"/>
                <w:color w:val="auto"/>
              </w:rPr>
            </w:pPr>
          </w:p>
        </w:tc>
        <w:tc>
          <w:tcPr>
            <w:tcW w:w="3260" w:type="dxa"/>
            <w:vAlign w:val="bottom"/>
            <w:tcBorders>
              <w:right w:val="single" w:sz="8" w:color="auto"/>
            </w:tcBorders>
          </w:tcPr>
          <w:p>
            <w:pPr>
              <w:ind w:left="60"/>
              <w:spacing w:after="0" w:line="177" w:lineRule="exact"/>
              <w:rPr>
                <w:sz w:val="20"/>
                <w:szCs w:val="20"/>
                <w:color w:val="auto"/>
              </w:rPr>
            </w:pPr>
            <w:r>
              <w:rPr>
                <w:rFonts w:ascii="Arial" w:cs="Arial" w:eastAsia="Arial" w:hAnsi="Arial"/>
                <w:sz w:val="18"/>
                <w:szCs w:val="18"/>
                <w:color w:val="auto"/>
              </w:rPr>
              <w:t>*Total number of +securities bought</w:t>
            </w:r>
          </w:p>
        </w:tc>
        <w:tc>
          <w:tcPr>
            <w:tcW w:w="3260" w:type="dxa"/>
            <w:vAlign w:val="bottom"/>
            <w:tcBorders>
              <w:right w:val="single" w:sz="8" w:color="auto"/>
            </w:tcBorders>
          </w:tcPr>
          <w:p>
            <w:pPr>
              <w:ind w:left="100"/>
              <w:spacing w:after="0" w:line="177" w:lineRule="exact"/>
              <w:rPr>
                <w:sz w:val="20"/>
                <w:szCs w:val="20"/>
                <w:color w:val="auto"/>
              </w:rPr>
            </w:pPr>
            <w:r>
              <w:rPr>
                <w:rFonts w:ascii="Arial" w:cs="Arial" w:eastAsia="Arial" w:hAnsi="Arial"/>
                <w:sz w:val="18"/>
                <w:szCs w:val="18"/>
                <w:color w:val="auto"/>
              </w:rPr>
              <w:t>6,418,230</w:t>
            </w:r>
          </w:p>
        </w:tc>
        <w:tc>
          <w:tcPr>
            <w:tcW w:w="3300" w:type="dxa"/>
            <w:vAlign w:val="bottom"/>
            <w:tcBorders>
              <w:right w:val="single" w:sz="8" w:color="auto"/>
            </w:tcBorders>
          </w:tcPr>
          <w:p>
            <w:pPr>
              <w:ind w:left="60"/>
              <w:spacing w:after="0" w:line="177" w:lineRule="exact"/>
              <w:rPr>
                <w:sz w:val="20"/>
                <w:szCs w:val="20"/>
                <w:color w:val="auto"/>
              </w:rPr>
            </w:pPr>
            <w:r>
              <w:rPr>
                <w:rFonts w:ascii="Arial" w:cs="Arial" w:eastAsia="Arial" w:hAnsi="Arial"/>
                <w:sz w:val="18"/>
                <w:szCs w:val="18"/>
                <w:color w:val="auto"/>
              </w:rPr>
              <w:t>25,457</w:t>
            </w:r>
          </w:p>
        </w:tc>
      </w:tr>
      <w:tr>
        <w:trPr>
          <w:trHeight w:val="181"/>
        </w:trPr>
        <w:tc>
          <w:tcPr>
            <w:tcW w:w="1080" w:type="dxa"/>
            <w:vAlign w:val="bottom"/>
            <w:tcBorders>
              <w:left w:val="single" w:sz="8" w:color="auto"/>
            </w:tcBorders>
          </w:tcPr>
          <w:p>
            <w:pPr>
              <w:spacing w:after="0"/>
              <w:rPr>
                <w:sz w:val="15"/>
                <w:szCs w:val="15"/>
                <w:color w:val="auto"/>
              </w:rPr>
            </w:pPr>
          </w:p>
        </w:tc>
        <w:tc>
          <w:tcPr>
            <w:tcW w:w="360" w:type="dxa"/>
            <w:vAlign w:val="bottom"/>
            <w:tcBorders>
              <w:right w:val="single" w:sz="8" w:color="auto"/>
            </w:tcBorders>
          </w:tcPr>
          <w:p>
            <w:pPr>
              <w:spacing w:after="0"/>
              <w:rPr>
                <w:sz w:val="15"/>
                <w:szCs w:val="15"/>
                <w:color w:val="auto"/>
              </w:rPr>
            </w:pPr>
          </w:p>
        </w:tc>
        <w:tc>
          <w:tcPr>
            <w:tcW w:w="3260" w:type="dxa"/>
            <w:vAlign w:val="bottom"/>
            <w:tcBorders>
              <w:right w:val="single" w:sz="8" w:color="auto"/>
            </w:tcBorders>
          </w:tcPr>
          <w:p>
            <w:pPr>
              <w:ind w:left="60"/>
              <w:spacing w:after="0" w:line="181" w:lineRule="exact"/>
              <w:rPr>
                <w:sz w:val="20"/>
                <w:szCs w:val="20"/>
                <w:color w:val="auto"/>
              </w:rPr>
            </w:pPr>
            <w:r>
              <w:rPr>
                <w:rFonts w:ascii="Arial" w:cs="Arial" w:eastAsia="Arial" w:hAnsi="Arial"/>
                <w:sz w:val="18"/>
                <w:szCs w:val="18"/>
                <w:color w:val="auto"/>
              </w:rPr>
              <w:t>back, or in relation to which</w:t>
            </w:r>
          </w:p>
        </w:tc>
        <w:tc>
          <w:tcPr>
            <w:tcW w:w="3260" w:type="dxa"/>
            <w:vAlign w:val="bottom"/>
            <w:tcBorders>
              <w:right w:val="single" w:sz="8" w:color="auto"/>
            </w:tcBorders>
          </w:tcPr>
          <w:p>
            <w:pPr>
              <w:spacing w:after="0"/>
              <w:rPr>
                <w:sz w:val="15"/>
                <w:szCs w:val="15"/>
                <w:color w:val="auto"/>
              </w:rPr>
            </w:pPr>
          </w:p>
        </w:tc>
        <w:tc>
          <w:tcPr>
            <w:tcW w:w="3300" w:type="dxa"/>
            <w:vAlign w:val="bottom"/>
            <w:tcBorders>
              <w:right w:val="single" w:sz="8" w:color="auto"/>
            </w:tcBorders>
          </w:tcPr>
          <w:p>
            <w:pPr>
              <w:spacing w:after="0"/>
              <w:rPr>
                <w:sz w:val="15"/>
                <w:szCs w:val="15"/>
                <w:color w:val="auto"/>
              </w:rPr>
            </w:pPr>
          </w:p>
        </w:tc>
      </w:tr>
      <w:tr>
        <w:trPr>
          <w:trHeight w:val="230"/>
        </w:trPr>
        <w:tc>
          <w:tcPr>
            <w:tcW w:w="1080" w:type="dxa"/>
            <w:vAlign w:val="bottom"/>
            <w:tcBorders>
              <w:left w:val="single" w:sz="8" w:color="auto"/>
              <w:bottom w:val="single" w:sz="8" w:color="auto"/>
            </w:tcBorders>
          </w:tcPr>
          <w:p>
            <w:pPr>
              <w:spacing w:after="0"/>
              <w:rPr>
                <w:sz w:val="19"/>
                <w:szCs w:val="19"/>
                <w:color w:val="auto"/>
              </w:rPr>
            </w:pPr>
          </w:p>
        </w:tc>
        <w:tc>
          <w:tcPr>
            <w:tcW w:w="360" w:type="dxa"/>
            <w:vAlign w:val="bottom"/>
            <w:tcBorders>
              <w:bottom w:val="single" w:sz="8" w:color="auto"/>
              <w:right w:val="single" w:sz="8" w:color="auto"/>
            </w:tcBorders>
          </w:tcPr>
          <w:p>
            <w:pPr>
              <w:spacing w:after="0"/>
              <w:rPr>
                <w:sz w:val="19"/>
                <w:szCs w:val="19"/>
                <w:color w:val="auto"/>
              </w:rPr>
            </w:pPr>
          </w:p>
        </w:tc>
        <w:tc>
          <w:tcPr>
            <w:tcW w:w="32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acceptances have been received</w:t>
            </w:r>
          </w:p>
        </w:tc>
        <w:tc>
          <w:tcPr>
            <w:tcW w:w="3260" w:type="dxa"/>
            <w:vAlign w:val="bottom"/>
            <w:tcBorders>
              <w:bottom w:val="single" w:sz="8" w:color="auto"/>
              <w:right w:val="single" w:sz="8" w:color="auto"/>
            </w:tcBorders>
          </w:tcPr>
          <w:p>
            <w:pPr>
              <w:spacing w:after="0"/>
              <w:rPr>
                <w:sz w:val="19"/>
                <w:szCs w:val="19"/>
                <w:color w:val="auto"/>
              </w:rPr>
            </w:pPr>
          </w:p>
        </w:tc>
        <w:tc>
          <w:tcPr>
            <w:tcW w:w="3300" w:type="dxa"/>
            <w:vAlign w:val="bottom"/>
            <w:tcBorders>
              <w:bottom w:val="single" w:sz="8" w:color="auto"/>
              <w:right w:val="single" w:sz="8" w:color="auto"/>
            </w:tcBorders>
          </w:tcPr>
          <w:p>
            <w:pPr>
              <w:spacing w:after="0"/>
              <w:rPr>
                <w:sz w:val="19"/>
                <w:szCs w:val="19"/>
                <w:color w:val="auto"/>
              </w:rPr>
            </w:pPr>
          </w:p>
        </w:tc>
      </w:tr>
      <w:tr>
        <w:trPr>
          <w:trHeight w:val="177"/>
        </w:trPr>
        <w:tc>
          <w:tcPr>
            <w:tcW w:w="1080" w:type="dxa"/>
            <w:vAlign w:val="bottom"/>
            <w:tcBorders>
              <w:left w:val="single" w:sz="8" w:color="auto"/>
            </w:tcBorders>
          </w:tcPr>
          <w:p>
            <w:pPr>
              <w:ind w:left="80"/>
              <w:spacing w:after="0" w:line="177" w:lineRule="exact"/>
              <w:rPr>
                <w:sz w:val="20"/>
                <w:szCs w:val="20"/>
                <w:color w:val="auto"/>
              </w:rPr>
            </w:pPr>
            <w:r>
              <w:rPr>
                <w:rFonts w:ascii="Arial" w:cs="Arial" w:eastAsia="Arial" w:hAnsi="Arial"/>
                <w:sz w:val="18"/>
                <w:szCs w:val="18"/>
                <w:color w:val="auto"/>
              </w:rPr>
              <w:t>4.4</w:t>
            </w:r>
          </w:p>
        </w:tc>
        <w:tc>
          <w:tcPr>
            <w:tcW w:w="360" w:type="dxa"/>
            <w:vAlign w:val="bottom"/>
            <w:tcBorders>
              <w:right w:val="single" w:sz="8" w:color="auto"/>
            </w:tcBorders>
          </w:tcPr>
          <w:p>
            <w:pPr>
              <w:spacing w:after="0"/>
              <w:rPr>
                <w:sz w:val="15"/>
                <w:szCs w:val="15"/>
                <w:color w:val="auto"/>
              </w:rPr>
            </w:pPr>
          </w:p>
        </w:tc>
        <w:tc>
          <w:tcPr>
            <w:tcW w:w="3260" w:type="dxa"/>
            <w:vAlign w:val="bottom"/>
            <w:tcBorders>
              <w:right w:val="single" w:sz="8" w:color="auto"/>
            </w:tcBorders>
          </w:tcPr>
          <w:p>
            <w:pPr>
              <w:ind w:left="60"/>
              <w:spacing w:after="0" w:line="177" w:lineRule="exact"/>
              <w:rPr>
                <w:sz w:val="20"/>
                <w:szCs w:val="20"/>
                <w:color w:val="auto"/>
              </w:rPr>
            </w:pPr>
            <w:r>
              <w:rPr>
                <w:rFonts w:ascii="Arial" w:cs="Arial" w:eastAsia="Arial" w:hAnsi="Arial"/>
                <w:sz w:val="18"/>
                <w:szCs w:val="18"/>
                <w:color w:val="auto"/>
              </w:rPr>
              <w:t>*Total consideration paid or payable for</w:t>
            </w:r>
          </w:p>
        </w:tc>
        <w:tc>
          <w:tcPr>
            <w:tcW w:w="3260" w:type="dxa"/>
            <w:vAlign w:val="bottom"/>
            <w:tcBorders>
              <w:right w:val="single" w:sz="8" w:color="auto"/>
            </w:tcBorders>
          </w:tcPr>
          <w:p>
            <w:pPr>
              <w:ind w:left="100"/>
              <w:spacing w:after="0" w:line="177" w:lineRule="exact"/>
              <w:rPr>
                <w:sz w:val="20"/>
                <w:szCs w:val="20"/>
                <w:color w:val="auto"/>
              </w:rPr>
            </w:pPr>
            <w:r>
              <w:rPr>
                <w:rFonts w:ascii="Arial" w:cs="Arial" w:eastAsia="Arial" w:hAnsi="Arial"/>
                <w:sz w:val="18"/>
                <w:szCs w:val="18"/>
                <w:color w:val="auto"/>
              </w:rPr>
              <w:t>US$191,918,972.96</w:t>
            </w:r>
          </w:p>
        </w:tc>
        <w:tc>
          <w:tcPr>
            <w:tcW w:w="3300" w:type="dxa"/>
            <w:vAlign w:val="bottom"/>
            <w:tcBorders>
              <w:right w:val="single" w:sz="8" w:color="auto"/>
            </w:tcBorders>
          </w:tcPr>
          <w:p>
            <w:pPr>
              <w:ind w:left="60"/>
              <w:spacing w:after="0" w:line="177" w:lineRule="exact"/>
              <w:rPr>
                <w:sz w:val="20"/>
                <w:szCs w:val="20"/>
                <w:color w:val="auto"/>
              </w:rPr>
            </w:pPr>
            <w:r>
              <w:rPr>
                <w:rFonts w:ascii="Arial" w:cs="Arial" w:eastAsia="Arial" w:hAnsi="Arial"/>
                <w:sz w:val="18"/>
                <w:szCs w:val="18"/>
                <w:color w:val="auto"/>
              </w:rPr>
              <w:t>US$818,371.27</w:t>
            </w:r>
          </w:p>
        </w:tc>
      </w:tr>
      <w:tr>
        <w:trPr>
          <w:trHeight w:val="235"/>
        </w:trPr>
        <w:tc>
          <w:tcPr>
            <w:tcW w:w="1080" w:type="dxa"/>
            <w:vAlign w:val="bottom"/>
            <w:tcBorders>
              <w:left w:val="single" w:sz="8" w:color="auto"/>
              <w:bottom w:val="single" w:sz="8" w:color="auto"/>
            </w:tcBorders>
          </w:tcPr>
          <w:p>
            <w:pPr>
              <w:spacing w:after="0"/>
              <w:rPr>
                <w:sz w:val="20"/>
                <w:szCs w:val="20"/>
                <w:color w:val="auto"/>
              </w:rPr>
            </w:pPr>
          </w:p>
        </w:tc>
        <w:tc>
          <w:tcPr>
            <w:tcW w:w="360" w:type="dxa"/>
            <w:vAlign w:val="bottom"/>
            <w:tcBorders>
              <w:bottom w:val="single" w:sz="8" w:color="auto"/>
              <w:right w:val="single" w:sz="8" w:color="auto"/>
            </w:tcBorders>
          </w:tcPr>
          <w:p>
            <w:pPr>
              <w:spacing w:after="0"/>
              <w:rPr>
                <w:sz w:val="20"/>
                <w:szCs w:val="20"/>
                <w:color w:val="auto"/>
              </w:rPr>
            </w:pPr>
          </w:p>
        </w:tc>
        <w:tc>
          <w:tcPr>
            <w:tcW w:w="32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the +securities</w:t>
            </w:r>
          </w:p>
        </w:tc>
        <w:tc>
          <w:tcPr>
            <w:tcW w:w="3260" w:type="dxa"/>
            <w:vAlign w:val="bottom"/>
            <w:tcBorders>
              <w:bottom w:val="single" w:sz="8" w:color="auto"/>
              <w:right w:val="single" w:sz="8" w:color="auto"/>
            </w:tcBorders>
          </w:tcPr>
          <w:p>
            <w:pPr>
              <w:spacing w:after="0"/>
              <w:rPr>
                <w:sz w:val="20"/>
                <w:szCs w:val="20"/>
                <w:color w:val="auto"/>
              </w:rPr>
            </w:pPr>
          </w:p>
        </w:tc>
        <w:tc>
          <w:tcPr>
            <w:tcW w:w="3300" w:type="dxa"/>
            <w:vAlign w:val="bottom"/>
            <w:tcBorders>
              <w:bottom w:val="single" w:sz="8" w:color="auto"/>
              <w:right w:val="single" w:sz="8" w:color="auto"/>
            </w:tcBorders>
          </w:tcPr>
          <w:p>
            <w:pPr>
              <w:spacing w:after="0"/>
              <w:rPr>
                <w:sz w:val="20"/>
                <w:szCs w:val="20"/>
                <w:color w:val="auto"/>
              </w:rPr>
            </w:pPr>
          </w:p>
        </w:tc>
      </w:tr>
      <w:tr>
        <w:trPr>
          <w:trHeight w:val="281"/>
        </w:trPr>
        <w:tc>
          <w:tcPr>
            <w:tcW w:w="10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4.5</w:t>
            </w:r>
          </w:p>
        </w:tc>
        <w:tc>
          <w:tcPr>
            <w:tcW w:w="360" w:type="dxa"/>
            <w:vAlign w:val="bottom"/>
            <w:tcBorders>
              <w:right w:val="single" w:sz="8" w:color="auto"/>
            </w:tcBorders>
          </w:tcPr>
          <w:p>
            <w:pPr>
              <w:spacing w:after="0"/>
              <w:rPr>
                <w:sz w:val="24"/>
                <w:szCs w:val="24"/>
                <w:color w:val="auto"/>
              </w:rPr>
            </w:pPr>
          </w:p>
        </w:tc>
        <w:tc>
          <w:tcPr>
            <w:tcW w:w="32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*Highest price paid</w:t>
            </w:r>
          </w:p>
        </w:tc>
        <w:tc>
          <w:tcPr>
            <w:tcW w:w="32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US$35.69</w:t>
            </w:r>
          </w:p>
        </w:tc>
        <w:tc>
          <w:tcPr>
            <w:tcW w:w="33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US$29.74</w:t>
            </w:r>
          </w:p>
        </w:tc>
      </w:tr>
      <w:tr>
        <w:trPr>
          <w:trHeight w:val="185"/>
        </w:trPr>
        <w:tc>
          <w:tcPr>
            <w:tcW w:w="1080" w:type="dxa"/>
            <w:vAlign w:val="bottom"/>
            <w:tcBorders>
              <w:left w:val="single" w:sz="8" w:color="auto"/>
            </w:tcBorders>
          </w:tcPr>
          <w:p>
            <w:pPr>
              <w:spacing w:after="0"/>
              <w:rPr>
                <w:sz w:val="16"/>
                <w:szCs w:val="16"/>
                <w:color w:val="auto"/>
              </w:rPr>
            </w:pPr>
          </w:p>
        </w:tc>
        <w:tc>
          <w:tcPr>
            <w:tcW w:w="360" w:type="dxa"/>
            <w:vAlign w:val="bottom"/>
            <w:tcBorders>
              <w:right w:val="single" w:sz="8" w:color="auto"/>
            </w:tcBorders>
          </w:tcPr>
          <w:p>
            <w:pPr>
              <w:spacing w:after="0"/>
              <w:rPr>
                <w:sz w:val="16"/>
                <w:szCs w:val="16"/>
                <w:color w:val="auto"/>
              </w:rPr>
            </w:pPr>
          </w:p>
        </w:tc>
        <w:tc>
          <w:tcPr>
            <w:tcW w:w="326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Answer these questions if your response to</w:t>
            </w:r>
          </w:p>
        </w:tc>
        <w:tc>
          <w:tcPr>
            <w:tcW w:w="3260" w:type="dxa"/>
            <w:vAlign w:val="bottom"/>
            <w:tcBorders>
              <w:right w:val="single" w:sz="8" w:color="auto"/>
            </w:tcBorders>
          </w:tcPr>
          <w:p>
            <w:pPr>
              <w:ind w:left="100"/>
              <w:spacing w:after="0" w:line="185" w:lineRule="exact"/>
              <w:rPr>
                <w:sz w:val="20"/>
                <w:szCs w:val="20"/>
                <w:color w:val="auto"/>
              </w:rPr>
            </w:pPr>
            <w:r>
              <w:rPr>
                <w:rFonts w:ascii="Arial" w:cs="Arial" w:eastAsia="Arial" w:hAnsi="Arial"/>
                <w:sz w:val="18"/>
                <w:szCs w:val="18"/>
                <w:color w:val="auto"/>
              </w:rPr>
              <w:t>*Date highest price was paid:</w:t>
            </w:r>
          </w:p>
        </w:tc>
        <w:tc>
          <w:tcPr>
            <w:tcW w:w="3300" w:type="dxa"/>
            <w:vAlign w:val="bottom"/>
            <w:tcBorders>
              <w:right w:val="single" w:sz="8" w:color="auto"/>
            </w:tcBorders>
          </w:tcPr>
          <w:p>
            <w:pPr>
              <w:spacing w:after="0"/>
              <w:rPr>
                <w:sz w:val="16"/>
                <w:szCs w:val="16"/>
                <w:color w:val="auto"/>
              </w:rPr>
            </w:pPr>
          </w:p>
        </w:tc>
      </w:tr>
      <w:tr>
        <w:trPr>
          <w:trHeight w:val="239"/>
        </w:trPr>
        <w:tc>
          <w:tcPr>
            <w:tcW w:w="1080" w:type="dxa"/>
            <w:vAlign w:val="bottom"/>
            <w:tcBorders>
              <w:left w:val="single" w:sz="8" w:color="auto"/>
            </w:tcBorders>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c>
          <w:tcPr>
            <w:tcW w:w="326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Q 2.1 is “On-market buy-back”.</w:t>
            </w:r>
          </w:p>
        </w:tc>
        <w:tc>
          <w:tcPr>
            <w:tcW w:w="32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27/08/2026</w:t>
            </w:r>
          </w:p>
        </w:tc>
        <w:tc>
          <w:tcPr>
            <w:tcW w:w="3300" w:type="dxa"/>
            <w:vAlign w:val="bottom"/>
            <w:tcBorders>
              <w:right w:val="single" w:sz="8" w:color="auto"/>
            </w:tcBorders>
          </w:tcPr>
          <w:p>
            <w:pPr>
              <w:spacing w:after="0"/>
              <w:rPr>
                <w:sz w:val="20"/>
                <w:szCs w:val="20"/>
                <w:color w:val="auto"/>
              </w:rPr>
            </w:pPr>
          </w:p>
        </w:tc>
      </w:tr>
      <w:tr>
        <w:trPr>
          <w:trHeight w:val="45"/>
        </w:trPr>
        <w:tc>
          <w:tcPr>
            <w:tcW w:w="1080" w:type="dxa"/>
            <w:vAlign w:val="bottom"/>
            <w:tcBorders>
              <w:left w:val="single" w:sz="8" w:color="auto"/>
              <w:bottom w:val="single" w:sz="8" w:color="auto"/>
            </w:tcBorders>
          </w:tcPr>
          <w:p>
            <w:pPr>
              <w:spacing w:after="0"/>
              <w:rPr>
                <w:sz w:val="3"/>
                <w:szCs w:val="3"/>
                <w:color w:val="auto"/>
              </w:rPr>
            </w:pPr>
          </w:p>
        </w:tc>
        <w:tc>
          <w:tcPr>
            <w:tcW w:w="360" w:type="dxa"/>
            <w:vAlign w:val="bottom"/>
            <w:tcBorders>
              <w:bottom w:val="single" w:sz="8" w:color="auto"/>
              <w:right w:val="single" w:sz="8" w:color="auto"/>
            </w:tcBorders>
          </w:tcPr>
          <w:p>
            <w:pPr>
              <w:spacing w:after="0"/>
              <w:rPr>
                <w:sz w:val="3"/>
                <w:szCs w:val="3"/>
                <w:color w:val="auto"/>
              </w:rPr>
            </w:pPr>
          </w:p>
        </w:tc>
        <w:tc>
          <w:tcPr>
            <w:tcW w:w="3260" w:type="dxa"/>
            <w:vAlign w:val="bottom"/>
            <w:tcBorders>
              <w:bottom w:val="single" w:sz="8" w:color="auto"/>
              <w:right w:val="single" w:sz="8" w:color="auto"/>
            </w:tcBorders>
          </w:tcPr>
          <w:p>
            <w:pPr>
              <w:spacing w:after="0"/>
              <w:rPr>
                <w:sz w:val="3"/>
                <w:szCs w:val="3"/>
                <w:color w:val="auto"/>
              </w:rPr>
            </w:pPr>
          </w:p>
        </w:tc>
        <w:tc>
          <w:tcPr>
            <w:tcW w:w="3260" w:type="dxa"/>
            <w:vAlign w:val="bottom"/>
            <w:tcBorders>
              <w:bottom w:val="single" w:sz="8" w:color="auto"/>
              <w:right w:val="single" w:sz="8" w:color="auto"/>
            </w:tcBorders>
          </w:tcPr>
          <w:p>
            <w:pPr>
              <w:spacing w:after="0"/>
              <w:rPr>
                <w:sz w:val="3"/>
                <w:szCs w:val="3"/>
                <w:color w:val="auto"/>
              </w:rPr>
            </w:pPr>
          </w:p>
        </w:tc>
        <w:tc>
          <w:tcPr>
            <w:tcW w:w="3300" w:type="dxa"/>
            <w:vAlign w:val="bottom"/>
            <w:tcBorders>
              <w:bottom w:val="single" w:sz="8" w:color="auto"/>
              <w:right w:val="single" w:sz="8" w:color="auto"/>
            </w:tcBorders>
          </w:tcPr>
          <w:p>
            <w:pPr>
              <w:spacing w:after="0"/>
              <w:rPr>
                <w:sz w:val="3"/>
                <w:szCs w:val="3"/>
                <w:color w:val="auto"/>
              </w:rPr>
            </w:pPr>
          </w:p>
        </w:tc>
      </w:tr>
      <w:tr>
        <w:trPr>
          <w:trHeight w:val="281"/>
        </w:trPr>
        <w:tc>
          <w:tcPr>
            <w:tcW w:w="10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4.6</w:t>
            </w:r>
          </w:p>
        </w:tc>
        <w:tc>
          <w:tcPr>
            <w:tcW w:w="360" w:type="dxa"/>
            <w:vAlign w:val="bottom"/>
            <w:tcBorders>
              <w:right w:val="single" w:sz="8" w:color="auto"/>
            </w:tcBorders>
          </w:tcPr>
          <w:p>
            <w:pPr>
              <w:spacing w:after="0"/>
              <w:rPr>
                <w:sz w:val="24"/>
                <w:szCs w:val="24"/>
                <w:color w:val="auto"/>
              </w:rPr>
            </w:pPr>
          </w:p>
        </w:tc>
        <w:tc>
          <w:tcPr>
            <w:tcW w:w="32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*Lowest price paid</w:t>
            </w:r>
          </w:p>
        </w:tc>
        <w:tc>
          <w:tcPr>
            <w:tcW w:w="32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US$25.49</w:t>
            </w:r>
          </w:p>
        </w:tc>
        <w:tc>
          <w:tcPr>
            <w:tcW w:w="33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US$29.11</w:t>
            </w:r>
          </w:p>
        </w:tc>
      </w:tr>
      <w:tr>
        <w:trPr>
          <w:trHeight w:val="185"/>
        </w:trPr>
        <w:tc>
          <w:tcPr>
            <w:tcW w:w="1080" w:type="dxa"/>
            <w:vAlign w:val="bottom"/>
            <w:tcBorders>
              <w:left w:val="single" w:sz="8" w:color="auto"/>
            </w:tcBorders>
          </w:tcPr>
          <w:p>
            <w:pPr>
              <w:spacing w:after="0"/>
              <w:rPr>
                <w:sz w:val="16"/>
                <w:szCs w:val="16"/>
                <w:color w:val="auto"/>
              </w:rPr>
            </w:pPr>
          </w:p>
        </w:tc>
        <w:tc>
          <w:tcPr>
            <w:tcW w:w="360" w:type="dxa"/>
            <w:vAlign w:val="bottom"/>
            <w:tcBorders>
              <w:right w:val="single" w:sz="8" w:color="auto"/>
            </w:tcBorders>
          </w:tcPr>
          <w:p>
            <w:pPr>
              <w:spacing w:after="0"/>
              <w:rPr>
                <w:sz w:val="16"/>
                <w:szCs w:val="16"/>
                <w:color w:val="auto"/>
              </w:rPr>
            </w:pPr>
          </w:p>
        </w:tc>
        <w:tc>
          <w:tcPr>
            <w:tcW w:w="326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Answer these questions if your response to</w:t>
            </w:r>
          </w:p>
        </w:tc>
        <w:tc>
          <w:tcPr>
            <w:tcW w:w="3260" w:type="dxa"/>
            <w:vAlign w:val="bottom"/>
            <w:tcBorders>
              <w:right w:val="single" w:sz="8" w:color="auto"/>
            </w:tcBorders>
          </w:tcPr>
          <w:p>
            <w:pPr>
              <w:ind w:left="100"/>
              <w:spacing w:after="0" w:line="185" w:lineRule="exact"/>
              <w:rPr>
                <w:sz w:val="20"/>
                <w:szCs w:val="20"/>
                <w:color w:val="auto"/>
              </w:rPr>
            </w:pPr>
            <w:r>
              <w:rPr>
                <w:rFonts w:ascii="Arial" w:cs="Arial" w:eastAsia="Arial" w:hAnsi="Arial"/>
                <w:sz w:val="18"/>
                <w:szCs w:val="18"/>
                <w:color w:val="auto"/>
              </w:rPr>
              <w:t>*Date lowest price was paid:</w:t>
            </w:r>
          </w:p>
        </w:tc>
        <w:tc>
          <w:tcPr>
            <w:tcW w:w="3300" w:type="dxa"/>
            <w:vAlign w:val="bottom"/>
            <w:tcBorders>
              <w:right w:val="single" w:sz="8" w:color="auto"/>
            </w:tcBorders>
          </w:tcPr>
          <w:p>
            <w:pPr>
              <w:spacing w:after="0"/>
              <w:rPr>
                <w:sz w:val="16"/>
                <w:szCs w:val="16"/>
                <w:color w:val="auto"/>
              </w:rPr>
            </w:pPr>
          </w:p>
        </w:tc>
      </w:tr>
      <w:tr>
        <w:trPr>
          <w:trHeight w:val="239"/>
        </w:trPr>
        <w:tc>
          <w:tcPr>
            <w:tcW w:w="1080" w:type="dxa"/>
            <w:vAlign w:val="bottom"/>
            <w:tcBorders>
              <w:left w:val="single" w:sz="8" w:color="auto"/>
            </w:tcBorders>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c>
          <w:tcPr>
            <w:tcW w:w="326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Q 2.1 is “On-market buy-back”.</w:t>
            </w:r>
          </w:p>
        </w:tc>
        <w:tc>
          <w:tcPr>
            <w:tcW w:w="32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13/02/2026</w:t>
            </w:r>
          </w:p>
        </w:tc>
        <w:tc>
          <w:tcPr>
            <w:tcW w:w="3300" w:type="dxa"/>
            <w:vAlign w:val="bottom"/>
            <w:tcBorders>
              <w:right w:val="single" w:sz="8" w:color="auto"/>
            </w:tcBorders>
          </w:tcPr>
          <w:p>
            <w:pPr>
              <w:spacing w:after="0"/>
              <w:rPr>
                <w:sz w:val="20"/>
                <w:szCs w:val="20"/>
                <w:color w:val="auto"/>
              </w:rPr>
            </w:pPr>
          </w:p>
        </w:tc>
      </w:tr>
      <w:tr>
        <w:trPr>
          <w:trHeight w:val="45"/>
        </w:trPr>
        <w:tc>
          <w:tcPr>
            <w:tcW w:w="1080" w:type="dxa"/>
            <w:vAlign w:val="bottom"/>
            <w:tcBorders>
              <w:left w:val="single" w:sz="8" w:color="auto"/>
              <w:bottom w:val="single" w:sz="8" w:color="auto"/>
            </w:tcBorders>
          </w:tcPr>
          <w:p>
            <w:pPr>
              <w:spacing w:after="0"/>
              <w:rPr>
                <w:sz w:val="3"/>
                <w:szCs w:val="3"/>
                <w:color w:val="auto"/>
              </w:rPr>
            </w:pPr>
          </w:p>
        </w:tc>
        <w:tc>
          <w:tcPr>
            <w:tcW w:w="360" w:type="dxa"/>
            <w:vAlign w:val="bottom"/>
            <w:tcBorders>
              <w:bottom w:val="single" w:sz="8" w:color="auto"/>
              <w:right w:val="single" w:sz="8" w:color="auto"/>
            </w:tcBorders>
          </w:tcPr>
          <w:p>
            <w:pPr>
              <w:spacing w:after="0"/>
              <w:rPr>
                <w:sz w:val="3"/>
                <w:szCs w:val="3"/>
                <w:color w:val="auto"/>
              </w:rPr>
            </w:pPr>
          </w:p>
        </w:tc>
        <w:tc>
          <w:tcPr>
            <w:tcW w:w="3260" w:type="dxa"/>
            <w:vAlign w:val="bottom"/>
            <w:tcBorders>
              <w:bottom w:val="single" w:sz="8" w:color="auto"/>
              <w:right w:val="single" w:sz="8" w:color="auto"/>
            </w:tcBorders>
          </w:tcPr>
          <w:p>
            <w:pPr>
              <w:spacing w:after="0"/>
              <w:rPr>
                <w:sz w:val="3"/>
                <w:szCs w:val="3"/>
                <w:color w:val="auto"/>
              </w:rPr>
            </w:pPr>
          </w:p>
        </w:tc>
        <w:tc>
          <w:tcPr>
            <w:tcW w:w="3260" w:type="dxa"/>
            <w:vAlign w:val="bottom"/>
            <w:tcBorders>
              <w:bottom w:val="single" w:sz="8" w:color="auto"/>
              <w:right w:val="single" w:sz="8" w:color="auto"/>
            </w:tcBorders>
          </w:tcPr>
          <w:p>
            <w:pPr>
              <w:spacing w:after="0"/>
              <w:rPr>
                <w:sz w:val="3"/>
                <w:szCs w:val="3"/>
                <w:color w:val="auto"/>
              </w:rPr>
            </w:pPr>
          </w:p>
        </w:tc>
        <w:tc>
          <w:tcPr>
            <w:tcW w:w="3300" w:type="dxa"/>
            <w:vAlign w:val="bottom"/>
            <w:tcBorders>
              <w:bottom w:val="single" w:sz="8" w:color="auto"/>
              <w:right w:val="single" w:sz="8" w:color="auto"/>
            </w:tcBorders>
          </w:tcPr>
          <w:p>
            <w:pPr>
              <w:spacing w:after="0"/>
              <w:rPr>
                <w:sz w:val="3"/>
                <w:szCs w:val="3"/>
                <w:color w:val="auto"/>
              </w:rPr>
            </w:pPr>
          </w:p>
        </w:tc>
      </w:tr>
      <w:tr>
        <w:trPr>
          <w:trHeight w:val="231"/>
        </w:trPr>
        <w:tc>
          <w:tcPr>
            <w:tcW w:w="10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4.8</w:t>
            </w:r>
          </w:p>
        </w:tc>
        <w:tc>
          <w:tcPr>
            <w:tcW w:w="360" w:type="dxa"/>
            <w:vAlign w:val="bottom"/>
            <w:tcBorders>
              <w:right w:val="single" w:sz="8" w:color="auto"/>
            </w:tcBorders>
          </w:tcPr>
          <w:p>
            <w:pPr>
              <w:spacing w:after="0"/>
              <w:rPr>
                <w:sz w:val="20"/>
                <w:szCs w:val="20"/>
                <w:color w:val="auto"/>
              </w:rPr>
            </w:pPr>
          </w:p>
        </w:tc>
        <w:tc>
          <w:tcPr>
            <w:tcW w:w="652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*If the entity has disclosed an intention to buy back a maximum number of</w:t>
            </w:r>
          </w:p>
        </w:tc>
        <w:tc>
          <w:tcPr>
            <w:tcW w:w="33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The company is authorized to acquire</w:t>
            </w:r>
          </w:p>
        </w:tc>
      </w:tr>
      <w:tr>
        <w:trPr>
          <w:trHeight w:val="181"/>
        </w:trPr>
        <w:tc>
          <w:tcPr>
            <w:tcW w:w="1080" w:type="dxa"/>
            <w:vAlign w:val="bottom"/>
            <w:tcBorders>
              <w:left w:val="single" w:sz="8" w:color="auto"/>
            </w:tcBorders>
          </w:tcPr>
          <w:p>
            <w:pPr>
              <w:spacing w:after="0"/>
              <w:rPr>
                <w:sz w:val="15"/>
                <w:szCs w:val="15"/>
                <w:color w:val="auto"/>
              </w:rPr>
            </w:pPr>
          </w:p>
        </w:tc>
        <w:tc>
          <w:tcPr>
            <w:tcW w:w="360" w:type="dxa"/>
            <w:vAlign w:val="bottom"/>
            <w:tcBorders>
              <w:right w:val="single" w:sz="8" w:color="auto"/>
            </w:tcBorders>
          </w:tcPr>
          <w:p>
            <w:pPr>
              <w:spacing w:after="0"/>
              <w:rPr>
                <w:sz w:val="15"/>
                <w:szCs w:val="15"/>
                <w:color w:val="auto"/>
              </w:rPr>
            </w:pPr>
          </w:p>
        </w:tc>
        <w:tc>
          <w:tcPr>
            <w:tcW w:w="6520" w:type="dxa"/>
            <w:vAlign w:val="bottom"/>
            <w:tcBorders>
              <w:right w:val="single" w:sz="8" w:color="auto"/>
            </w:tcBorders>
            <w:gridSpan w:val="2"/>
          </w:tcPr>
          <w:p>
            <w:pPr>
              <w:ind w:left="60"/>
              <w:spacing w:after="0" w:line="181" w:lineRule="exact"/>
              <w:rPr>
                <w:sz w:val="20"/>
                <w:szCs w:val="20"/>
                <w:color w:val="auto"/>
              </w:rPr>
            </w:pPr>
            <w:r>
              <w:rPr>
                <w:rFonts w:ascii="Arial" w:cs="Arial" w:eastAsia="Arial" w:hAnsi="Arial"/>
                <w:sz w:val="18"/>
                <w:szCs w:val="18"/>
                <w:color w:val="auto"/>
              </w:rPr>
              <w:t>+securities, the remaining number of +securities to be bought back as at the</w:t>
            </w:r>
          </w:p>
        </w:tc>
        <w:tc>
          <w:tcPr>
            <w:tcW w:w="3300" w:type="dxa"/>
            <w:vAlign w:val="bottom"/>
            <w:tcBorders>
              <w:right w:val="single" w:sz="8" w:color="auto"/>
            </w:tcBorders>
          </w:tcPr>
          <w:p>
            <w:pPr>
              <w:ind w:left="60"/>
              <w:spacing w:after="0" w:line="181" w:lineRule="exact"/>
              <w:rPr>
                <w:sz w:val="20"/>
                <w:szCs w:val="20"/>
                <w:color w:val="auto"/>
              </w:rPr>
            </w:pPr>
            <w:r>
              <w:rPr>
                <w:rFonts w:ascii="Arial" w:cs="Arial" w:eastAsia="Arial" w:hAnsi="Arial"/>
                <w:sz w:val="18"/>
                <w:szCs w:val="18"/>
                <w:color w:val="auto"/>
              </w:rPr>
              <w:t>up to an aggregate of US$1 billion of</w:t>
            </w:r>
          </w:p>
        </w:tc>
      </w:tr>
      <w:tr>
        <w:trPr>
          <w:trHeight w:val="175"/>
        </w:trPr>
        <w:tc>
          <w:tcPr>
            <w:tcW w:w="1080" w:type="dxa"/>
            <w:vAlign w:val="bottom"/>
            <w:tcBorders>
              <w:left w:val="single" w:sz="8" w:color="auto"/>
            </w:tcBorders>
          </w:tcPr>
          <w:p>
            <w:pPr>
              <w:spacing w:after="0"/>
              <w:rPr>
                <w:sz w:val="15"/>
                <w:szCs w:val="15"/>
                <w:color w:val="auto"/>
              </w:rPr>
            </w:pPr>
          </w:p>
        </w:tc>
        <w:tc>
          <w:tcPr>
            <w:tcW w:w="360" w:type="dxa"/>
            <w:vAlign w:val="bottom"/>
            <w:tcBorders>
              <w:right w:val="single" w:sz="8" w:color="auto"/>
            </w:tcBorders>
          </w:tcPr>
          <w:p>
            <w:pPr>
              <w:spacing w:after="0"/>
              <w:rPr>
                <w:sz w:val="15"/>
                <w:szCs w:val="15"/>
                <w:color w:val="auto"/>
              </w:rPr>
            </w:pPr>
          </w:p>
        </w:tc>
        <w:tc>
          <w:tcPr>
            <w:tcW w:w="3260" w:type="dxa"/>
            <w:vAlign w:val="bottom"/>
          </w:tcPr>
          <w:p>
            <w:pPr>
              <w:ind w:left="60"/>
              <w:spacing w:after="0" w:line="176" w:lineRule="exact"/>
              <w:rPr>
                <w:sz w:val="20"/>
                <w:szCs w:val="20"/>
                <w:color w:val="auto"/>
              </w:rPr>
            </w:pPr>
            <w:r>
              <w:rPr>
                <w:rFonts w:ascii="Arial" w:cs="Arial" w:eastAsia="Arial" w:hAnsi="Arial"/>
                <w:sz w:val="18"/>
                <w:szCs w:val="18"/>
                <w:color w:val="auto"/>
              </w:rPr>
              <w:t>end of the previous day</w:t>
            </w:r>
          </w:p>
        </w:tc>
        <w:tc>
          <w:tcPr>
            <w:tcW w:w="3260" w:type="dxa"/>
            <w:vAlign w:val="bottom"/>
            <w:tcBorders>
              <w:right w:val="single" w:sz="8" w:color="auto"/>
            </w:tcBorders>
          </w:tcPr>
          <w:p>
            <w:pPr>
              <w:spacing w:after="0"/>
              <w:rPr>
                <w:sz w:val="15"/>
                <w:szCs w:val="15"/>
                <w:color w:val="auto"/>
              </w:rPr>
            </w:pPr>
          </w:p>
        </w:tc>
        <w:tc>
          <w:tcPr>
            <w:tcW w:w="3300" w:type="dxa"/>
            <w:vAlign w:val="bottom"/>
            <w:tcBorders>
              <w:right w:val="single" w:sz="8" w:color="auto"/>
            </w:tcBorders>
          </w:tcPr>
          <w:p>
            <w:pPr>
              <w:ind w:left="60"/>
              <w:spacing w:after="0" w:line="176" w:lineRule="exact"/>
              <w:rPr>
                <w:sz w:val="20"/>
                <w:szCs w:val="20"/>
                <w:color w:val="auto"/>
              </w:rPr>
            </w:pPr>
            <w:r>
              <w:rPr>
                <w:rFonts w:ascii="Arial" w:cs="Arial" w:eastAsia="Arial" w:hAnsi="Arial"/>
                <w:sz w:val="18"/>
                <w:szCs w:val="18"/>
                <w:color w:val="auto"/>
              </w:rPr>
              <w:t>the Company’s Nasdaq-listed Class A</w:t>
            </w:r>
          </w:p>
        </w:tc>
      </w:tr>
      <w:tr>
        <w:trPr>
          <w:trHeight w:val="203"/>
        </w:trPr>
        <w:tc>
          <w:tcPr>
            <w:tcW w:w="1080" w:type="dxa"/>
            <w:vAlign w:val="bottom"/>
            <w:tcBorders>
              <w:left w:val="single" w:sz="8" w:color="auto"/>
            </w:tcBorders>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6520" w:type="dxa"/>
            <w:vAlign w:val="bottom"/>
            <w:tcBorders>
              <w:right w:val="single" w:sz="8" w:color="auto"/>
            </w:tcBorders>
            <w:gridSpan w:val="2"/>
          </w:tcPr>
          <w:p>
            <w:pPr>
              <w:ind w:left="60"/>
              <w:spacing w:after="0"/>
              <w:rPr>
                <w:sz w:val="20"/>
                <w:szCs w:val="20"/>
                <w:color w:val="auto"/>
              </w:rPr>
            </w:pPr>
            <w:r>
              <w:rPr>
                <w:rFonts w:ascii="Arial" w:cs="Arial" w:eastAsia="Arial" w:hAnsi="Arial"/>
                <w:sz w:val="14"/>
                <w:szCs w:val="14"/>
                <w:i w:val="1"/>
                <w:iCs w:val="1"/>
                <w:color w:val="auto"/>
              </w:rPr>
              <w:t>Note: ASX has calculated this number for you based on previous notifications. If it is not correct,</w:t>
            </w:r>
          </w:p>
        </w:tc>
        <w:tc>
          <w:tcPr>
            <w:tcW w:w="330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common stock and Class B common</w:t>
            </w:r>
          </w:p>
        </w:tc>
      </w:tr>
      <w:tr>
        <w:trPr>
          <w:trHeight w:val="162"/>
        </w:trPr>
        <w:tc>
          <w:tcPr>
            <w:tcW w:w="1080" w:type="dxa"/>
            <w:vAlign w:val="bottom"/>
            <w:tcBorders>
              <w:left w:val="single" w:sz="8" w:color="auto"/>
            </w:tcBorders>
          </w:tcPr>
          <w:p>
            <w:pPr>
              <w:spacing w:after="0"/>
              <w:rPr>
                <w:sz w:val="14"/>
                <w:szCs w:val="14"/>
                <w:color w:val="auto"/>
              </w:rPr>
            </w:pPr>
          </w:p>
        </w:tc>
        <w:tc>
          <w:tcPr>
            <w:tcW w:w="360" w:type="dxa"/>
            <w:vAlign w:val="bottom"/>
            <w:tcBorders>
              <w:right w:val="single" w:sz="8" w:color="auto"/>
            </w:tcBorders>
          </w:tcPr>
          <w:p>
            <w:pPr>
              <w:spacing w:after="0"/>
              <w:rPr>
                <w:sz w:val="14"/>
                <w:szCs w:val="14"/>
                <w:color w:val="auto"/>
              </w:rPr>
            </w:pPr>
          </w:p>
        </w:tc>
        <w:tc>
          <w:tcPr>
            <w:tcW w:w="6520" w:type="dxa"/>
            <w:vAlign w:val="bottom"/>
            <w:tcBorders>
              <w:right w:val="single" w:sz="8" w:color="auto"/>
            </w:tcBorders>
            <w:gridSpan w:val="2"/>
          </w:tcPr>
          <w:p>
            <w:pPr>
              <w:ind w:left="60"/>
              <w:spacing w:after="0"/>
              <w:rPr>
                <w:sz w:val="20"/>
                <w:szCs w:val="20"/>
                <w:color w:val="auto"/>
              </w:rPr>
            </w:pPr>
            <w:r>
              <w:rPr>
                <w:rFonts w:ascii="Arial" w:cs="Arial" w:eastAsia="Arial" w:hAnsi="Arial"/>
                <w:sz w:val="14"/>
                <w:szCs w:val="14"/>
                <w:i w:val="1"/>
                <w:iCs w:val="1"/>
                <w:color w:val="auto"/>
              </w:rPr>
              <w:t>please amend it to the correct number and consider whether any updates need to be made to</w:t>
            </w:r>
          </w:p>
        </w:tc>
        <w:tc>
          <w:tcPr>
            <w:tcW w:w="3300" w:type="dxa"/>
            <w:vAlign w:val="bottom"/>
            <w:tcBorders>
              <w:right w:val="single" w:sz="8" w:color="auto"/>
            </w:tcBorders>
          </w:tcPr>
          <w:p>
            <w:pPr>
              <w:ind w:left="60"/>
              <w:spacing w:after="0" w:line="162" w:lineRule="exact"/>
              <w:rPr>
                <w:sz w:val="20"/>
                <w:szCs w:val="20"/>
                <w:color w:val="auto"/>
              </w:rPr>
            </w:pPr>
            <w:r>
              <w:rPr>
                <w:rFonts w:ascii="Arial" w:cs="Arial" w:eastAsia="Arial" w:hAnsi="Arial"/>
                <w:sz w:val="18"/>
                <w:szCs w:val="18"/>
                <w:color w:val="auto"/>
              </w:rPr>
              <w:t>stock under the 2025 Repurchase</w:t>
            </w:r>
          </w:p>
        </w:tc>
      </w:tr>
      <w:tr>
        <w:trPr>
          <w:trHeight w:val="175"/>
        </w:trPr>
        <w:tc>
          <w:tcPr>
            <w:tcW w:w="1080" w:type="dxa"/>
            <w:vAlign w:val="bottom"/>
            <w:tcBorders>
              <w:left w:val="single" w:sz="8" w:color="auto"/>
            </w:tcBorders>
          </w:tcPr>
          <w:p>
            <w:pPr>
              <w:spacing w:after="0"/>
              <w:rPr>
                <w:sz w:val="15"/>
                <w:szCs w:val="15"/>
                <w:color w:val="auto"/>
              </w:rPr>
            </w:pPr>
          </w:p>
        </w:tc>
        <w:tc>
          <w:tcPr>
            <w:tcW w:w="360" w:type="dxa"/>
            <w:vAlign w:val="bottom"/>
            <w:tcBorders>
              <w:right w:val="single" w:sz="8" w:color="auto"/>
            </w:tcBorders>
          </w:tcPr>
          <w:p>
            <w:pPr>
              <w:spacing w:after="0"/>
              <w:rPr>
                <w:sz w:val="15"/>
                <w:szCs w:val="15"/>
                <w:color w:val="auto"/>
              </w:rPr>
            </w:pPr>
          </w:p>
        </w:tc>
        <w:tc>
          <w:tcPr>
            <w:tcW w:w="3260" w:type="dxa"/>
            <w:vAlign w:val="bottom"/>
          </w:tcPr>
          <w:p>
            <w:pPr>
              <w:ind w:left="60"/>
              <w:spacing w:after="0"/>
              <w:rPr>
                <w:sz w:val="20"/>
                <w:szCs w:val="20"/>
                <w:color w:val="auto"/>
              </w:rPr>
            </w:pPr>
            <w:r>
              <w:rPr>
                <w:rFonts w:ascii="Arial" w:cs="Arial" w:eastAsia="Arial" w:hAnsi="Arial"/>
                <w:sz w:val="14"/>
                <w:szCs w:val="14"/>
                <w:i w:val="1"/>
                <w:iCs w:val="1"/>
                <w:color w:val="auto"/>
              </w:rPr>
              <w:t>previous notifications.</w:t>
            </w:r>
          </w:p>
        </w:tc>
        <w:tc>
          <w:tcPr>
            <w:tcW w:w="3260" w:type="dxa"/>
            <w:vAlign w:val="bottom"/>
            <w:tcBorders>
              <w:right w:val="single" w:sz="8" w:color="auto"/>
            </w:tcBorders>
          </w:tcPr>
          <w:p>
            <w:pPr>
              <w:spacing w:after="0"/>
              <w:rPr>
                <w:sz w:val="15"/>
                <w:szCs w:val="15"/>
                <w:color w:val="auto"/>
              </w:rPr>
            </w:pPr>
          </w:p>
        </w:tc>
        <w:tc>
          <w:tcPr>
            <w:tcW w:w="3300" w:type="dxa"/>
            <w:vAlign w:val="bottom"/>
            <w:tcBorders>
              <w:right w:val="single" w:sz="8" w:color="auto"/>
            </w:tcBorders>
          </w:tcPr>
          <w:p>
            <w:pPr>
              <w:ind w:left="60"/>
              <w:spacing w:after="0" w:line="176" w:lineRule="exact"/>
              <w:rPr>
                <w:sz w:val="20"/>
                <w:szCs w:val="20"/>
                <w:color w:val="auto"/>
              </w:rPr>
            </w:pPr>
            <w:r>
              <w:rPr>
                <w:rFonts w:ascii="Arial" w:cs="Arial" w:eastAsia="Arial" w:hAnsi="Arial"/>
                <w:sz w:val="18"/>
                <w:szCs w:val="18"/>
                <w:color w:val="auto"/>
              </w:rPr>
              <w:t>Program. To date, the company has</w:t>
            </w:r>
          </w:p>
        </w:tc>
      </w:tr>
      <w:tr>
        <w:trPr>
          <w:trHeight w:val="184"/>
        </w:trPr>
        <w:tc>
          <w:tcPr>
            <w:tcW w:w="1080" w:type="dxa"/>
            <w:vAlign w:val="bottom"/>
            <w:tcBorders>
              <w:left w:val="single" w:sz="8" w:color="auto"/>
            </w:tcBorders>
          </w:tcPr>
          <w:p>
            <w:pPr>
              <w:spacing w:after="0"/>
              <w:rPr>
                <w:sz w:val="15"/>
                <w:szCs w:val="15"/>
                <w:color w:val="auto"/>
              </w:rPr>
            </w:pPr>
          </w:p>
        </w:tc>
        <w:tc>
          <w:tcPr>
            <w:tcW w:w="360" w:type="dxa"/>
            <w:vAlign w:val="bottom"/>
            <w:tcBorders>
              <w:right w:val="single" w:sz="8" w:color="auto"/>
            </w:tcBorders>
          </w:tcPr>
          <w:p>
            <w:pPr>
              <w:spacing w:after="0"/>
              <w:rPr>
                <w:sz w:val="15"/>
                <w:szCs w:val="15"/>
                <w:color w:val="auto"/>
              </w:rPr>
            </w:pPr>
          </w:p>
        </w:tc>
        <w:tc>
          <w:tcPr>
            <w:tcW w:w="3260" w:type="dxa"/>
            <w:vAlign w:val="bottom"/>
          </w:tcPr>
          <w:p>
            <w:pPr>
              <w:spacing w:after="0"/>
              <w:rPr>
                <w:sz w:val="15"/>
                <w:szCs w:val="15"/>
                <w:color w:val="auto"/>
              </w:rPr>
            </w:pPr>
          </w:p>
        </w:tc>
        <w:tc>
          <w:tcPr>
            <w:tcW w:w="3260" w:type="dxa"/>
            <w:vAlign w:val="bottom"/>
            <w:tcBorders>
              <w:right w:val="single" w:sz="8" w:color="auto"/>
            </w:tcBorders>
          </w:tcPr>
          <w:p>
            <w:pPr>
              <w:spacing w:after="0"/>
              <w:rPr>
                <w:sz w:val="15"/>
                <w:szCs w:val="15"/>
                <w:color w:val="auto"/>
              </w:rPr>
            </w:pPr>
          </w:p>
        </w:tc>
        <w:tc>
          <w:tcPr>
            <w:tcW w:w="3300" w:type="dxa"/>
            <w:vAlign w:val="bottom"/>
            <w:tcBorders>
              <w:right w:val="single" w:sz="8" w:color="auto"/>
            </w:tcBorders>
          </w:tcPr>
          <w:p>
            <w:pPr>
              <w:ind w:left="60"/>
              <w:spacing w:after="0" w:line="183" w:lineRule="exact"/>
              <w:rPr>
                <w:sz w:val="20"/>
                <w:szCs w:val="20"/>
                <w:color w:val="auto"/>
              </w:rPr>
            </w:pPr>
            <w:r>
              <w:rPr>
                <w:rFonts w:ascii="Arial" w:cs="Arial" w:eastAsia="Arial" w:hAnsi="Arial"/>
                <w:sz w:val="18"/>
                <w:szCs w:val="18"/>
                <w:color w:val="auto"/>
              </w:rPr>
              <w:t>purchased approximately</w:t>
            </w:r>
          </w:p>
        </w:tc>
      </w:tr>
      <w:tr>
        <w:trPr>
          <w:trHeight w:val="181"/>
        </w:trPr>
        <w:tc>
          <w:tcPr>
            <w:tcW w:w="1080" w:type="dxa"/>
            <w:vAlign w:val="bottom"/>
            <w:tcBorders>
              <w:left w:val="single" w:sz="8" w:color="auto"/>
            </w:tcBorders>
          </w:tcPr>
          <w:p>
            <w:pPr>
              <w:spacing w:after="0"/>
              <w:rPr>
                <w:sz w:val="15"/>
                <w:szCs w:val="15"/>
                <w:color w:val="auto"/>
              </w:rPr>
            </w:pPr>
          </w:p>
        </w:tc>
        <w:tc>
          <w:tcPr>
            <w:tcW w:w="360" w:type="dxa"/>
            <w:vAlign w:val="bottom"/>
            <w:tcBorders>
              <w:right w:val="single" w:sz="8" w:color="auto"/>
            </w:tcBorders>
          </w:tcPr>
          <w:p>
            <w:pPr>
              <w:spacing w:after="0"/>
              <w:rPr>
                <w:sz w:val="15"/>
                <w:szCs w:val="15"/>
                <w:color w:val="auto"/>
              </w:rPr>
            </w:pPr>
          </w:p>
        </w:tc>
        <w:tc>
          <w:tcPr>
            <w:tcW w:w="3260" w:type="dxa"/>
            <w:vAlign w:val="bottom"/>
          </w:tcPr>
          <w:p>
            <w:pPr>
              <w:spacing w:after="0"/>
              <w:rPr>
                <w:sz w:val="15"/>
                <w:szCs w:val="15"/>
                <w:color w:val="auto"/>
              </w:rPr>
            </w:pPr>
          </w:p>
        </w:tc>
        <w:tc>
          <w:tcPr>
            <w:tcW w:w="3260" w:type="dxa"/>
            <w:vAlign w:val="bottom"/>
            <w:tcBorders>
              <w:right w:val="single" w:sz="8" w:color="auto"/>
            </w:tcBorders>
          </w:tcPr>
          <w:p>
            <w:pPr>
              <w:spacing w:after="0"/>
              <w:rPr>
                <w:sz w:val="15"/>
                <w:szCs w:val="15"/>
                <w:color w:val="auto"/>
              </w:rPr>
            </w:pPr>
          </w:p>
        </w:tc>
        <w:tc>
          <w:tcPr>
            <w:tcW w:w="3300" w:type="dxa"/>
            <w:vAlign w:val="bottom"/>
            <w:tcBorders>
              <w:right w:val="single" w:sz="8" w:color="auto"/>
            </w:tcBorders>
          </w:tcPr>
          <w:p>
            <w:pPr>
              <w:ind w:left="60"/>
              <w:spacing w:after="0" w:line="181" w:lineRule="exact"/>
              <w:rPr>
                <w:sz w:val="20"/>
                <w:szCs w:val="20"/>
                <w:color w:val="auto"/>
              </w:rPr>
            </w:pPr>
            <w:r>
              <w:rPr>
                <w:rFonts w:ascii="Arial" w:cs="Arial" w:eastAsia="Arial" w:hAnsi="Arial"/>
                <w:sz w:val="18"/>
                <w:szCs w:val="18"/>
                <w:color w:val="auto"/>
              </w:rPr>
              <w:t>US$562,876,003 worth of Class A and</w:t>
            </w:r>
          </w:p>
        </w:tc>
      </w:tr>
      <w:tr>
        <w:trPr>
          <w:trHeight w:val="175"/>
        </w:trPr>
        <w:tc>
          <w:tcPr>
            <w:tcW w:w="1080" w:type="dxa"/>
            <w:vAlign w:val="bottom"/>
            <w:tcBorders>
              <w:left w:val="single" w:sz="8" w:color="auto"/>
            </w:tcBorders>
          </w:tcPr>
          <w:p>
            <w:pPr>
              <w:spacing w:after="0"/>
              <w:rPr>
                <w:sz w:val="15"/>
                <w:szCs w:val="15"/>
                <w:color w:val="auto"/>
              </w:rPr>
            </w:pPr>
          </w:p>
        </w:tc>
        <w:tc>
          <w:tcPr>
            <w:tcW w:w="360" w:type="dxa"/>
            <w:vAlign w:val="bottom"/>
            <w:tcBorders>
              <w:right w:val="single" w:sz="8" w:color="auto"/>
            </w:tcBorders>
          </w:tcPr>
          <w:p>
            <w:pPr>
              <w:spacing w:after="0"/>
              <w:rPr>
                <w:sz w:val="15"/>
                <w:szCs w:val="15"/>
                <w:color w:val="auto"/>
              </w:rPr>
            </w:pPr>
          </w:p>
        </w:tc>
        <w:tc>
          <w:tcPr>
            <w:tcW w:w="3260" w:type="dxa"/>
            <w:vAlign w:val="bottom"/>
          </w:tcPr>
          <w:p>
            <w:pPr>
              <w:spacing w:after="0"/>
              <w:rPr>
                <w:sz w:val="15"/>
                <w:szCs w:val="15"/>
                <w:color w:val="auto"/>
              </w:rPr>
            </w:pPr>
          </w:p>
        </w:tc>
        <w:tc>
          <w:tcPr>
            <w:tcW w:w="3260" w:type="dxa"/>
            <w:vAlign w:val="bottom"/>
            <w:tcBorders>
              <w:right w:val="single" w:sz="8" w:color="auto"/>
            </w:tcBorders>
          </w:tcPr>
          <w:p>
            <w:pPr>
              <w:spacing w:after="0"/>
              <w:rPr>
                <w:sz w:val="15"/>
                <w:szCs w:val="15"/>
                <w:color w:val="auto"/>
              </w:rPr>
            </w:pPr>
          </w:p>
        </w:tc>
        <w:tc>
          <w:tcPr>
            <w:tcW w:w="3300" w:type="dxa"/>
            <w:vAlign w:val="bottom"/>
            <w:tcBorders>
              <w:right w:val="single" w:sz="8" w:color="auto"/>
            </w:tcBorders>
          </w:tcPr>
          <w:p>
            <w:pPr>
              <w:ind w:left="60"/>
              <w:spacing w:after="0" w:line="176" w:lineRule="exact"/>
              <w:rPr>
                <w:sz w:val="20"/>
                <w:szCs w:val="20"/>
                <w:color w:val="auto"/>
              </w:rPr>
            </w:pPr>
            <w:r>
              <w:rPr>
                <w:rFonts w:ascii="Arial" w:cs="Arial" w:eastAsia="Arial" w:hAnsi="Arial"/>
                <w:sz w:val="18"/>
                <w:szCs w:val="18"/>
                <w:color w:val="auto"/>
              </w:rPr>
              <w:t>Class B shares (based on total</w:t>
            </w:r>
          </w:p>
        </w:tc>
      </w:tr>
      <w:tr>
        <w:trPr>
          <w:trHeight w:val="184"/>
        </w:trPr>
        <w:tc>
          <w:tcPr>
            <w:tcW w:w="1080" w:type="dxa"/>
            <w:vAlign w:val="bottom"/>
            <w:tcBorders>
              <w:left w:val="single" w:sz="8" w:color="auto"/>
            </w:tcBorders>
          </w:tcPr>
          <w:p>
            <w:pPr>
              <w:spacing w:after="0"/>
              <w:rPr>
                <w:sz w:val="15"/>
                <w:szCs w:val="15"/>
                <w:color w:val="auto"/>
              </w:rPr>
            </w:pPr>
          </w:p>
        </w:tc>
        <w:tc>
          <w:tcPr>
            <w:tcW w:w="360" w:type="dxa"/>
            <w:vAlign w:val="bottom"/>
            <w:tcBorders>
              <w:right w:val="single" w:sz="8" w:color="auto"/>
            </w:tcBorders>
          </w:tcPr>
          <w:p>
            <w:pPr>
              <w:spacing w:after="0"/>
              <w:rPr>
                <w:sz w:val="15"/>
                <w:szCs w:val="15"/>
                <w:color w:val="auto"/>
              </w:rPr>
            </w:pPr>
          </w:p>
        </w:tc>
        <w:tc>
          <w:tcPr>
            <w:tcW w:w="3260" w:type="dxa"/>
            <w:vAlign w:val="bottom"/>
          </w:tcPr>
          <w:p>
            <w:pPr>
              <w:spacing w:after="0"/>
              <w:rPr>
                <w:sz w:val="15"/>
                <w:szCs w:val="15"/>
                <w:color w:val="auto"/>
              </w:rPr>
            </w:pPr>
          </w:p>
        </w:tc>
        <w:tc>
          <w:tcPr>
            <w:tcW w:w="3260" w:type="dxa"/>
            <w:vAlign w:val="bottom"/>
            <w:tcBorders>
              <w:right w:val="single" w:sz="8" w:color="auto"/>
            </w:tcBorders>
          </w:tcPr>
          <w:p>
            <w:pPr>
              <w:spacing w:after="0"/>
              <w:rPr>
                <w:sz w:val="15"/>
                <w:szCs w:val="15"/>
                <w:color w:val="auto"/>
              </w:rPr>
            </w:pPr>
          </w:p>
        </w:tc>
        <w:tc>
          <w:tcPr>
            <w:tcW w:w="3300" w:type="dxa"/>
            <w:vAlign w:val="bottom"/>
            <w:tcBorders>
              <w:right w:val="single" w:sz="8" w:color="auto"/>
            </w:tcBorders>
          </w:tcPr>
          <w:p>
            <w:pPr>
              <w:ind w:left="60"/>
              <w:spacing w:after="0" w:line="183" w:lineRule="exact"/>
              <w:rPr>
                <w:sz w:val="20"/>
                <w:szCs w:val="20"/>
                <w:color w:val="auto"/>
              </w:rPr>
            </w:pPr>
            <w:r>
              <w:rPr>
                <w:rFonts w:ascii="Arial" w:cs="Arial" w:eastAsia="Arial" w:hAnsi="Arial"/>
                <w:sz w:val="18"/>
                <w:szCs w:val="18"/>
                <w:color w:val="auto"/>
              </w:rPr>
              <w:t>consideration paid) under the 2025</w:t>
            </w:r>
          </w:p>
        </w:tc>
      </w:tr>
      <w:tr>
        <w:trPr>
          <w:trHeight w:val="239"/>
        </w:trPr>
        <w:tc>
          <w:tcPr>
            <w:tcW w:w="1080" w:type="dxa"/>
            <w:vAlign w:val="bottom"/>
            <w:tcBorders>
              <w:left w:val="single" w:sz="8" w:color="auto"/>
            </w:tcBorders>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c>
          <w:tcPr>
            <w:tcW w:w="3260" w:type="dxa"/>
            <w:vAlign w:val="bottom"/>
          </w:tcPr>
          <w:p>
            <w:pPr>
              <w:spacing w:after="0"/>
              <w:rPr>
                <w:sz w:val="20"/>
                <w:szCs w:val="20"/>
                <w:color w:val="auto"/>
              </w:rPr>
            </w:pPr>
          </w:p>
        </w:tc>
        <w:tc>
          <w:tcPr>
            <w:tcW w:w="3260" w:type="dxa"/>
            <w:vAlign w:val="bottom"/>
            <w:tcBorders>
              <w:right w:val="single" w:sz="8" w:color="auto"/>
            </w:tcBorders>
          </w:tcPr>
          <w:p>
            <w:pPr>
              <w:spacing w:after="0"/>
              <w:rPr>
                <w:sz w:val="20"/>
                <w:szCs w:val="20"/>
                <w:color w:val="auto"/>
              </w:rPr>
            </w:pPr>
          </w:p>
        </w:tc>
        <w:tc>
          <w:tcPr>
            <w:tcW w:w="33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Repurchase Program.</w:t>
            </w:r>
          </w:p>
        </w:tc>
      </w:tr>
      <w:tr>
        <w:trPr>
          <w:trHeight w:val="50"/>
        </w:trPr>
        <w:tc>
          <w:tcPr>
            <w:tcW w:w="1440" w:type="dxa"/>
            <w:vAlign w:val="bottom"/>
            <w:tcBorders>
              <w:left w:val="single" w:sz="8" w:color="auto"/>
              <w:bottom w:val="single" w:sz="8" w:color="auto"/>
              <w:right w:val="single" w:sz="8" w:color="auto"/>
            </w:tcBorders>
            <w:gridSpan w:val="2"/>
          </w:tcPr>
          <w:p>
            <w:pPr>
              <w:spacing w:after="0"/>
              <w:rPr>
                <w:sz w:val="4"/>
                <w:szCs w:val="4"/>
                <w:color w:val="auto"/>
              </w:rPr>
            </w:pPr>
          </w:p>
        </w:tc>
        <w:tc>
          <w:tcPr>
            <w:tcW w:w="3260" w:type="dxa"/>
            <w:vAlign w:val="bottom"/>
            <w:tcBorders>
              <w:bottom w:val="single" w:sz="8" w:color="auto"/>
            </w:tcBorders>
          </w:tcPr>
          <w:p>
            <w:pPr>
              <w:spacing w:after="0"/>
              <w:rPr>
                <w:sz w:val="4"/>
                <w:szCs w:val="4"/>
                <w:color w:val="auto"/>
              </w:rPr>
            </w:pPr>
          </w:p>
        </w:tc>
        <w:tc>
          <w:tcPr>
            <w:tcW w:w="3260" w:type="dxa"/>
            <w:vAlign w:val="bottom"/>
            <w:tcBorders>
              <w:bottom w:val="single" w:sz="8" w:color="auto"/>
              <w:right w:val="single" w:sz="8" w:color="auto"/>
            </w:tcBorders>
          </w:tcPr>
          <w:p>
            <w:pPr>
              <w:spacing w:after="0"/>
              <w:rPr>
                <w:sz w:val="4"/>
                <w:szCs w:val="4"/>
                <w:color w:val="auto"/>
              </w:rPr>
            </w:pPr>
          </w:p>
        </w:tc>
        <w:tc>
          <w:tcPr>
            <w:tcW w:w="3300" w:type="dxa"/>
            <w:vAlign w:val="bottom"/>
            <w:tcBorders>
              <w:bottom w:val="single" w:sz="8" w:color="auto"/>
              <w:right w:val="single" w:sz="8" w:color="auto"/>
            </w:tcBorders>
          </w:tcPr>
          <w:p>
            <w:pPr>
              <w:spacing w:after="0"/>
              <w:rPr>
                <w:sz w:val="4"/>
                <w:szCs w:val="4"/>
                <w:color w:val="auto"/>
              </w:rPr>
            </w:pPr>
          </w:p>
        </w:tc>
      </w:tr>
      <w:tr>
        <w:trPr>
          <w:trHeight w:val="606"/>
        </w:trPr>
        <w:tc>
          <w:tcPr>
            <w:tcW w:w="4700" w:type="dxa"/>
            <w:vAlign w:val="bottom"/>
            <w:gridSpan w:val="3"/>
          </w:tcPr>
          <w:p>
            <w:pPr>
              <w:spacing w:after="0"/>
              <w:rPr>
                <w:sz w:val="20"/>
                <w:szCs w:val="20"/>
                <w:color w:val="auto"/>
              </w:rPr>
            </w:pPr>
            <w:r>
              <w:rPr>
                <w:rFonts w:ascii="Arial" w:cs="Arial" w:eastAsia="Arial" w:hAnsi="Arial"/>
                <w:sz w:val="14"/>
                <w:szCs w:val="14"/>
                <w:color w:val="auto"/>
              </w:rPr>
              <w:t>Introduced 05/06/21</w:t>
            </w:r>
          </w:p>
        </w:tc>
        <w:tc>
          <w:tcPr>
            <w:tcW w:w="3260" w:type="dxa"/>
            <w:vAlign w:val="bottom"/>
          </w:tcPr>
          <w:p>
            <w:pPr>
              <w:spacing w:after="0"/>
              <w:rPr>
                <w:sz w:val="24"/>
                <w:szCs w:val="24"/>
                <w:color w:val="auto"/>
              </w:rPr>
            </w:pPr>
          </w:p>
        </w:tc>
        <w:tc>
          <w:tcPr>
            <w:tcW w:w="3300" w:type="dxa"/>
            <w:vAlign w:val="bottom"/>
          </w:tcPr>
          <w:p>
            <w:pPr>
              <w:spacing w:after="0"/>
              <w:rPr>
                <w:sz w:val="24"/>
                <w:szCs w:val="24"/>
                <w:color w:val="auto"/>
              </w:rPr>
            </w:pPr>
          </w:p>
        </w:tc>
      </w:tr>
      <w:tr>
        <w:trPr>
          <w:trHeight w:val="629"/>
        </w:trPr>
        <w:tc>
          <w:tcPr>
            <w:tcW w:w="4700" w:type="dxa"/>
            <w:vAlign w:val="bottom"/>
            <w:tcBorders>
              <w:bottom w:val="single" w:sz="8" w:color="auto"/>
            </w:tcBorders>
            <w:gridSpan w:val="3"/>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tcPr>
          <w:p>
            <w:pPr>
              <w:spacing w:after="0"/>
              <w:rPr>
                <w:sz w:val="24"/>
                <w:szCs w:val="24"/>
                <w:color w:val="auto"/>
              </w:rPr>
            </w:pPr>
          </w:p>
        </w:tc>
      </w:tr>
      <w:tr>
        <w:trPr>
          <w:trHeight w:val="208"/>
        </w:trPr>
        <w:tc>
          <w:tcPr>
            <w:tcW w:w="4700" w:type="dxa"/>
            <w:vAlign w:val="bottom"/>
            <w:gridSpan w:val="3"/>
          </w:tcPr>
          <w:p>
            <w:pPr>
              <w:ind w:left="80"/>
              <w:spacing w:after="0"/>
              <w:rPr>
                <w:sz w:val="20"/>
                <w:szCs w:val="20"/>
                <w:color w:val="auto"/>
              </w:rPr>
            </w:pPr>
            <w:r>
              <w:rPr>
                <w:rFonts w:ascii="Arial" w:cs="Arial" w:eastAsia="Arial" w:hAnsi="Arial"/>
                <w:sz w:val="16"/>
                <w:szCs w:val="16"/>
                <w:color w:val="auto"/>
              </w:rPr>
              <w:t>+ See chapter 19 for defined terms</w:t>
            </w:r>
          </w:p>
        </w:tc>
        <w:tc>
          <w:tcPr>
            <w:tcW w:w="3260" w:type="dxa"/>
            <w:vAlign w:val="bottom"/>
          </w:tcPr>
          <w:p>
            <w:pPr>
              <w:spacing w:after="0"/>
              <w:rPr>
                <w:sz w:val="18"/>
                <w:szCs w:val="18"/>
                <w:color w:val="auto"/>
              </w:rPr>
            </w:pPr>
          </w:p>
        </w:tc>
        <w:tc>
          <w:tcPr>
            <w:tcW w:w="3300" w:type="dxa"/>
            <w:vAlign w:val="bottom"/>
          </w:tcPr>
          <w:p>
            <w:pPr>
              <w:spacing w:after="0"/>
              <w:rPr>
                <w:sz w:val="18"/>
                <w:szCs w:val="18"/>
                <w:color w:val="auto"/>
              </w:rPr>
            </w:pPr>
          </w:p>
        </w:tc>
      </w:tr>
      <w:tr>
        <w:trPr>
          <w:trHeight w:val="269"/>
        </w:trPr>
        <w:tc>
          <w:tcPr>
            <w:tcW w:w="1080" w:type="dxa"/>
            <w:vAlign w:val="bottom"/>
          </w:tcPr>
          <w:p>
            <w:pPr>
              <w:spacing w:after="0"/>
              <w:rPr>
                <w:sz w:val="20"/>
                <w:szCs w:val="20"/>
                <w:color w:val="auto"/>
              </w:rPr>
            </w:pPr>
            <w:r>
              <w:rPr>
                <w:rFonts w:ascii="Arial" w:cs="Arial" w:eastAsia="Arial" w:hAnsi="Arial"/>
                <w:sz w:val="16"/>
                <w:szCs w:val="16"/>
                <w:i w:val="1"/>
                <w:iCs w:val="1"/>
                <w:color w:val="auto"/>
              </w:rPr>
              <w:t>5 June 2021</w:t>
            </w:r>
          </w:p>
        </w:tc>
        <w:tc>
          <w:tcPr>
            <w:tcW w:w="3620" w:type="dxa"/>
            <w:vAlign w:val="bottom"/>
            <w:gridSpan w:val="2"/>
          </w:tcPr>
          <w:p>
            <w:pPr>
              <w:ind w:left="180"/>
              <w:spacing w:after="0"/>
              <w:rPr>
                <w:sz w:val="20"/>
                <w:szCs w:val="20"/>
                <w:color w:val="auto"/>
              </w:rPr>
            </w:pPr>
            <w:r>
              <w:rPr>
                <w:rFonts w:ascii="Arial" w:cs="Arial" w:eastAsia="Arial" w:hAnsi="Arial"/>
                <w:sz w:val="16"/>
                <w:szCs w:val="16"/>
                <w:color w:val="auto"/>
              </w:rPr>
              <w:t>Page 4</w:t>
            </w:r>
          </w:p>
        </w:tc>
        <w:tc>
          <w:tcPr>
            <w:tcW w:w="3260" w:type="dxa"/>
            <w:vAlign w:val="bottom"/>
          </w:tcPr>
          <w:p>
            <w:pPr>
              <w:spacing w:after="0"/>
              <w:rPr>
                <w:sz w:val="23"/>
                <w:szCs w:val="23"/>
                <w:color w:val="auto"/>
              </w:rPr>
            </w:pPr>
          </w:p>
        </w:tc>
        <w:tc>
          <w:tcPr>
            <w:tcW w:w="3300" w:type="dxa"/>
            <w:vAlign w:val="bottom"/>
          </w:tcPr>
          <w:p>
            <w:pPr>
              <w:spacing w:after="0"/>
              <w:rPr>
                <w:sz w:val="23"/>
                <w:szCs w:val="23"/>
                <w:color w:val="auto"/>
              </w:rPr>
            </w:pPr>
          </w:p>
        </w:tc>
      </w:tr>
    </w:tbl>
    <w:p>
      <w:pPr>
        <w:spacing w:after="0" w:line="1" w:lineRule="exact"/>
        <w:rPr>
          <w:sz w:val="20"/>
          <w:szCs w:val="20"/>
          <w:color w:val="auto"/>
        </w:rPr>
      </w:pPr>
    </w:p>
    <w:sectPr>
      <w:pgSz w:w="11900" w:h="16838" w:orient="portrait"/>
      <w:cols w:equalWidth="0" w:num="1">
        <w:col w:w="11260"/>
      </w:cols>
      <w:pgMar w:left="320" w:top="283"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2026-11-02T05:39:43Z</dcterms:created>
  <dcterms:modified xsi:type="dcterms:W3CDTF">2026-11-02T05:39:43Z</dcterms:modified>
</cp:coreProperties>
</file>