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1291.xml.htm"/>
      <w:bookmarkStart w:id="1" w:name="kswkform4_179097129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MURDOCH LACHLAN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NEWS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 AVENUE OF THE AMERICAS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NEWS CORP</w:t>
              </w:r>
            </w:hyperlink>
            <w:r>
              <w:rPr/>
              <w:t xml:space="preserve"> [ </w:t>
            </w:r>
            <w:r>
              <w:rPr>
                <w:rFonts w:ascii="Times;serif" w:hAnsi="Times;serif"/>
                <w:color w:val="0000FF"/>
                <w:sz w:val="24"/>
                <w:shd w:fill="FFFFFF" w:val="clear"/>
              </w:rPr>
              <w:t>NWS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2,031</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28.64</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6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06"/>
        <w:gridCol w:w="606"/>
        <w:gridCol w:w="906"/>
        <w:gridCol w:w="801"/>
        <w:gridCol w:w="891"/>
        <w:gridCol w:w="68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1,917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39,270</w:t>
            </w:r>
            <w:r>
              <w:rPr>
                <w:rFonts w:ascii="Times;serif" w:hAnsi="Times;serif"/>
                <w:color w:val="008000"/>
                <w:position w:val="7"/>
                <w:sz w:val="16"/>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1,702</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28.64</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40,972</w:t>
            </w:r>
            <w:r>
              <w:rPr>
                <w:rFonts w:ascii="Times;serif" w:hAnsi="Times;serif"/>
                <w:color w:val="008000"/>
                <w:position w:val="7"/>
                <w:sz w:val="16"/>
                <w:sz w:val="20"/>
                <w:shd w:fill="FFFFFF" w:val="clear"/>
              </w:rPr>
              <w:t>(4)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deferred stock units were deemed to have settled for the cash value of an equivalent number of shares of News Corporation's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deferred stock unit represents the equivalent of one share of News Corporation's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deferred stock units became payable in cash on October 1, 2026, the first trading day of the quarter five years following the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the aggregate number of deferred stock units held by the Reporting Person, including deferred stock units accrued as a result of dividend equivalents that vest on the same terms as the respective underlying deferred stock units. The reported deferred stock units become payable in cash on the earlier of (i) the first trading day of the quarter five years following the respective grant and (ii) the Reporting Person's end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deferred stock units become payable in cash on the earlier of (i) the first trading day of the quarter five years following the grant and (ii) the Reporting Person's end of service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C. Mertz as Attorney-in-Fact for Lachlan K. Murdoch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2818" TargetMode="External"/><Relationship Id="rId5" Type="http://schemas.openxmlformats.org/officeDocument/2006/relationships/hyperlink" Target="http://www.sec.gov/cgi-bin/browse-edgar?action=getcompany&amp;CIK=00015647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801</Words>
  <Characters>4183</Characters>
  <CharactersWithSpaces>4880</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