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3524.xml.htm"/>
      <w:bookmarkStart w:id="1" w:name="kswkform4_17870835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Thomson Robert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1051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444,341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240,578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203,763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203,763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37,922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17,842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17,842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35,322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35,322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18,703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16,619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16,619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32,125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15,114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15,114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29.16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2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90"/>
        <w:gridCol w:w="861"/>
        <w:gridCol w:w="891"/>
        <w:gridCol w:w="771"/>
        <w:gridCol w:w="591"/>
        <w:gridCol w:w="300"/>
        <w:gridCol w:w="876"/>
        <w:gridCol w:w="8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2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Cash-Settled 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444,341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444,341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37,922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37,922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35,322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35,322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35,328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64,253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Cash-Settled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108,024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108,024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dividend equivalents accrued during the performance period that are subject to the same performance-based and time-based vesting conditions as the underlying cash-settled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cash-settled performance stock units were deemed to have settled for an equivalent number of shares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upon vesting of applicable incentive award to satisfy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dividend equivalents accrued during the vesting period that are subject to the same time-based vesting conditions as the underlying cash-settled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cash-settled restricted stock units were deemed to have settled for an equivalent number of shares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Each cash-settled performance stock unit is the economic equivalent of one share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Each cash-settled restricted stock unit is the economic equivalent of one share of News Corporation's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cash-settled restricted stock units were granted as part of the Reporting Person's fiscal 2027 long-term equity incentive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cash-settled restricted stock units will vest in thirds on August 15, 2027, 2028 and 2029, subject to time-based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C. Mertz as Attorney-in-Fact for Robert J. Thomson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9380" TargetMode="External"/><Relationship Id="rId5" Type="http://schemas.openxmlformats.org/officeDocument/2006/relationships/hyperlink" Target="http://www.sec.gov/cgi-bin/browse-edgar?action=getcompany&amp;CIK=00015647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984</Words>
  <Characters>5300</Characters>
  <CharactersWithSpaces>6059</CharactersWithSpaces>
  <Paragraphs>254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