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pPr>
      <w:r>
        <w:rPr>
          <w:rFonts w:ascii="Times New Roman;serif" w:hAnsi="Times New Roman;serif"/>
          <w:b/>
          <w:color w:val="000000"/>
          <w:sz w:val="36"/>
        </w:rPr>
        <w:t>FORM 8-K</w:t>
      </w:r>
      <w:r>
        <w:rPr>
          <w:color w:val="000000"/>
        </w:rPr>
        <w:t xml:space="preserve"> </w:t>
      </w:r>
    </w:p>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CURRENT REPORT</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September 11, 2026</w:t>
      </w:r>
    </w:p>
    <w:p>
      <w:pPr>
        <w:pStyle w:val="TextBody"/>
        <w:bidi w:val="0"/>
        <w:spacing w:before="120" w:after="283"/>
        <w:jc w:val="center"/>
        <w:rPr/>
      </w:pPr>
      <w:r>
        <w:rPr/>
        <w:drawing>
          <wp:inline distT="0" distB="0" distL="0" distR="0">
            <wp:extent cx="3771900" cy="13430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771900" cy="1343025"/>
                    </a:xfrm>
                    <a:prstGeom prst="rect">
                      <a:avLst/>
                    </a:prstGeom>
                  </pic:spPr>
                </pic:pic>
              </a:graphicData>
            </a:graphic>
          </wp:inline>
        </w:drawing>
      </w:r>
      <w:bookmarkStart w:id="0" w:name="i-1"/>
      <w:bookmarkEnd w:id="0"/>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NEWS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 </w:t>
      </w:r>
    </w:p>
    <w:tbl>
      <w:tblPr>
        <w:tblW w:w="5961" w:type="dxa"/>
        <w:jc w:val="left"/>
        <w:tblInd w:w="0" w:type="dxa"/>
        <w:tblLayout w:type="fixed"/>
        <w:tblCellMar>
          <w:top w:w="28" w:type="dxa"/>
          <w:left w:w="28" w:type="dxa"/>
          <w:bottom w:w="28" w:type="dxa"/>
          <w:right w:w="28" w:type="dxa"/>
        </w:tblCellMar>
      </w:tblPr>
      <w:tblGrid>
        <w:gridCol w:w="851"/>
        <w:gridCol w:w="748"/>
        <w:gridCol w:w="755"/>
        <w:gridCol w:w="109"/>
        <w:gridCol w:w="109"/>
        <w:gridCol w:w="109"/>
        <w:gridCol w:w="423"/>
        <w:gridCol w:w="423"/>
        <w:gridCol w:w="428"/>
        <w:gridCol w:w="109"/>
        <w:gridCol w:w="109"/>
        <w:gridCol w:w="109"/>
        <w:gridCol w:w="490"/>
        <w:gridCol w:w="490"/>
        <w:gridCol w:w="699"/>
      </w:tblGrid>
      <w:tr>
        <w:trPr/>
        <w:tc>
          <w:tcPr>
            <w:tcW w:w="851"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001-35769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46-2950970</w:t>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(Commission</w:t>
              <w:br/>
              <w:t>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(IRS Employer</w:t>
              <w:br/>
              <w:t>Identification No.)</w:t>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1211 Avenue of the Americas, New York, New York 10036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(Address of principal executive offices, including zip code)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(212) 416-3400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10133" w:type="dxa"/>
        <w:jc w:val="left"/>
        <w:tblInd w:w="0" w:type="dxa"/>
        <w:tblLayout w:type="fixed"/>
        <w:tblCellMar>
          <w:top w:w="28" w:type="dxa"/>
          <w:left w:w="28" w:type="dxa"/>
          <w:bottom w:w="28" w:type="dxa"/>
          <w:right w:w="28" w:type="dxa"/>
        </w:tblCellMar>
      </w:tblPr>
      <w:tblGrid>
        <w:gridCol w:w="1505"/>
        <w:gridCol w:w="1317"/>
        <w:gridCol w:w="1333"/>
        <w:gridCol w:w="109"/>
        <w:gridCol w:w="109"/>
        <w:gridCol w:w="109"/>
        <w:gridCol w:w="539"/>
        <w:gridCol w:w="539"/>
        <w:gridCol w:w="541"/>
        <w:gridCol w:w="109"/>
        <w:gridCol w:w="109"/>
        <w:gridCol w:w="109"/>
        <w:gridCol w:w="1085"/>
        <w:gridCol w:w="1085"/>
        <w:gridCol w:w="1535"/>
      </w:tblGrid>
      <w:tr>
        <w:trPr/>
        <w:tc>
          <w:tcPr>
            <w:tcW w:w="1505"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415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A 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NWSA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Global Select Market</w:t>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B 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Global Select Market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60" w:after="283"/>
        <w:jc w:val="left"/>
        <w:rPr>
          <w:color w:val="000000"/>
        </w:rPr>
      </w:pPr>
      <w:r>
        <w:rPr>
          <w:color w:val="000000"/>
        </w:rPr>
        <w:t> </w:t>
      </w:r>
      <w:r>
        <w:rPr>
          <w:rFonts w:ascii="Times New Roman;serif" w:hAnsi="Times New Roman;serif"/>
          <w:b w:val="false"/>
          <w:color w:val="000000"/>
          <w:sz w:val="20"/>
        </w:rPr>
        <w:t>Emerging growth company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Item 8.01    Other Events.</w:t>
      </w:r>
      <w:r>
        <w:rPr>
          <w:color w:val="000000"/>
        </w:rPr>
        <w:t> </w:t>
      </w:r>
    </w:p>
    <w:p>
      <w:pPr>
        <w:pStyle w:val="TextBody"/>
        <w:bidi w:val="0"/>
        <w:spacing w:lineRule="auto" w:line="288" w:before="240" w:after="240"/>
        <w:jc w:val="left"/>
        <w:rPr>
          <w:rFonts w:ascii="Times New Roman;serif" w:hAnsi="Times New Roman;serif"/>
          <w:b w:val="false"/>
          <w:color w:val="000000"/>
          <w:sz w:val="20"/>
        </w:rPr>
      </w:pPr>
      <w:r>
        <w:rPr>
          <w:rFonts w:ascii="Times New Roman;serif" w:hAnsi="Times New Roman;serif"/>
          <w:b w:val="false"/>
          <w:color w:val="000000"/>
          <w:sz w:val="20"/>
        </w:rPr>
        <w:t>As previously reported, under News Corporation's (the "Company's") stock repurchase program (the "Repurchase Program"), the Company is authorized to acquire from time to time up to $1 billion in the aggregate of the Company's outstanding shares of Class A common stock and Class B common stock. Under the rules of the Australian Securities Exchange (the "ASX"), the Company is required to provide to the ASX, on a daily basis, disclosure of transactions pursuant to the Repurchase Program, if any. The Company also discloses information concerning the Repurchase Program in the Company's quarterly and annual reports.</w:t>
      </w:r>
    </w:p>
    <w:p>
      <w:pPr>
        <w:pStyle w:val="TextBody"/>
        <w:bidi w:val="0"/>
        <w:spacing w:lineRule="auto" w:line="268" w:before="0" w:after="0"/>
        <w:jc w:val="left"/>
        <w:rPr/>
      </w:pPr>
      <w:r>
        <w:rPr>
          <w:rFonts w:ascii="Times New Roman;serif" w:hAnsi="Times New Roman;serif"/>
          <w:b w:val="false"/>
          <w:color w:val="231F20"/>
          <w:sz w:val="20"/>
        </w:rPr>
        <w:t xml:space="preserve">Attached as Exhibit 99.1 and Exhibit 99.2 are copies of the information provided to the ASX on the respective dates noted therein. Such information contains </w:t>
      </w:r>
      <w:r>
        <w:rPr>
          <w:rFonts w:ascii="Times New Roman;serif" w:hAnsi="Times New Roman;serif"/>
          <w:b w:val="false"/>
          <w:color w:val="000000"/>
          <w:sz w:val="20"/>
        </w:rPr>
        <w:t>"</w:t>
      </w:r>
      <w:r>
        <w:rPr>
          <w:rFonts w:ascii="Times New Roman;serif" w:hAnsi="Times New Roman;serif"/>
          <w:b w:val="false"/>
          <w:color w:val="231F20"/>
          <w:sz w:val="20"/>
        </w:rPr>
        <w:t>forward-looking statements</w:t>
      </w:r>
      <w:r>
        <w:rPr>
          <w:rFonts w:ascii="Times New Roman;serif" w:hAnsi="Times New Roman;serif"/>
          <w:b w:val="false"/>
          <w:color w:val="000000"/>
          <w:sz w:val="20"/>
        </w:rPr>
        <w:t>"</w:t>
      </w:r>
      <w:r>
        <w:rPr>
          <w:color w:val="231F20"/>
        </w:rPr>
        <w:t xml:space="preserve"> </w:t>
      </w:r>
      <w:r>
        <w:rPr>
          <w:rFonts w:ascii="Times New Roman;serif" w:hAnsi="Times New Roman;serif"/>
          <w:b w:val="false"/>
          <w:color w:val="231F20"/>
          <w:sz w:val="20"/>
        </w:rPr>
        <w:t xml:space="preserve">within the meaning of the Private Securities Litigation Reform Act of 1995. These forward-looking statements include, but are not limited to, statements regarding the Company's intent to repurchase, from time to time, the Company's Class A common stock and Class B common stock. These statements are based on management's current expectations and beliefs and are subject to uncertainty and changes in circumstances. Actual results may vary materially from those expressed or implied by such statements due to, among other factors, changes in the market price of the Company's stock, general market conditions, applicable securities laws and alternative investment opportunities, as well as the risks, uncertainties and other factors described in the Company's filings with the Securities and Exchange Commission. The </w:t>
      </w:r>
      <w:r>
        <w:rPr>
          <w:rFonts w:ascii="Times New Roman;serif" w:hAnsi="Times New Roman;serif"/>
          <w:b w:val="false"/>
          <w:color w:val="000000"/>
          <w:sz w:val="20"/>
        </w:rPr>
        <w:t>"</w:t>
      </w:r>
      <w:r>
        <w:rPr>
          <w:rFonts w:ascii="Times New Roman;serif" w:hAnsi="Times New Roman;serif"/>
          <w:b w:val="false"/>
          <w:color w:val="231F20"/>
          <w:sz w:val="20"/>
        </w:rPr>
        <w:t>forward-looking statements</w:t>
      </w:r>
      <w:r>
        <w:rPr>
          <w:rFonts w:ascii="Times New Roman;serif" w:hAnsi="Times New Roman;serif"/>
          <w:b w:val="false"/>
          <w:color w:val="000000"/>
          <w:sz w:val="20"/>
        </w:rPr>
        <w:t>"</w:t>
      </w:r>
      <w:r>
        <w:rPr>
          <w:color w:val="231F20"/>
        </w:rPr>
        <w:t xml:space="preserve"> </w:t>
      </w:r>
      <w:r>
        <w:rPr>
          <w:rFonts w:ascii="Times New Roman;serif" w:hAnsi="Times New Roman;serif"/>
          <w:b w:val="false"/>
          <w:color w:val="231F20"/>
          <w:sz w:val="20"/>
        </w:rPr>
        <w:t xml:space="preserve">included in such information are made only as of the date of this report. We do not have and do not undertake any obligation to publicly update any </w:t>
      </w:r>
      <w:r>
        <w:rPr>
          <w:rFonts w:ascii="Times New Roman;serif" w:hAnsi="Times New Roman;serif"/>
          <w:b w:val="false"/>
          <w:color w:val="000000"/>
          <w:sz w:val="20"/>
        </w:rPr>
        <w:t>"</w:t>
      </w:r>
      <w:r>
        <w:rPr>
          <w:rFonts w:ascii="Times New Roman;serif" w:hAnsi="Times New Roman;serif"/>
          <w:b w:val="false"/>
          <w:color w:val="231F20"/>
          <w:sz w:val="20"/>
        </w:rPr>
        <w:t>forward-looking statements</w:t>
      </w:r>
      <w:r>
        <w:rPr>
          <w:rFonts w:ascii="Times New Roman;serif" w:hAnsi="Times New Roman;serif"/>
          <w:b w:val="false"/>
          <w:color w:val="000000"/>
          <w:sz w:val="20"/>
        </w:rPr>
        <w:t>"</w:t>
      </w:r>
      <w:r>
        <w:rPr>
          <w:color w:val="231F20"/>
        </w:rPr>
        <w:t xml:space="preserve"> </w:t>
      </w:r>
      <w:r>
        <w:rPr>
          <w:rFonts w:ascii="Times New Roman;serif" w:hAnsi="Times New Roman;serif"/>
          <w:b w:val="false"/>
          <w:color w:val="231F20"/>
          <w:sz w:val="20"/>
        </w:rPr>
        <w:t>to reflect subsequent events or circumstances, and we expressly disclaim any such obligation, except as required by law or regulation.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 Exhibits.</w:t>
      </w:r>
    </w:p>
    <w:p>
      <w:pPr>
        <w:pStyle w:val="TextBody"/>
        <w:bidi w:val="0"/>
        <w:spacing w:before="0" w:after="0"/>
        <w:jc w:val="left"/>
        <w:rPr/>
      </w:pPr>
      <w:r>
        <w:rPr/>
      </w:r>
    </w:p>
    <w:tbl>
      <w:tblPr>
        <w:tblW w:w="9207" w:type="dxa"/>
        <w:jc w:val="left"/>
        <w:tblInd w:w="0" w:type="dxa"/>
        <w:tblLayout w:type="fixed"/>
        <w:tblCellMar>
          <w:top w:w="28" w:type="dxa"/>
          <w:left w:w="28" w:type="dxa"/>
          <w:bottom w:w="28" w:type="dxa"/>
          <w:right w:w="28" w:type="dxa"/>
        </w:tblCellMar>
      </w:tblPr>
      <w:tblGrid>
        <w:gridCol w:w="391"/>
        <w:gridCol w:w="344"/>
        <w:gridCol w:w="345"/>
        <w:gridCol w:w="109"/>
        <w:gridCol w:w="109"/>
        <w:gridCol w:w="109"/>
        <w:gridCol w:w="2279"/>
        <w:gridCol w:w="2279"/>
        <w:gridCol w:w="3242"/>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9" w:type="dxa"/>
            <w:tcBorders/>
            <w:vAlign w:val="center"/>
          </w:tcPr>
          <w:p>
            <w:pPr>
              <w:pStyle w:val="TableContents"/>
              <w:bidi w:val="0"/>
              <w:spacing w:before="0" w:after="283"/>
              <w:jc w:val="left"/>
              <w:rPr>
                <w:sz w:val="4"/>
                <w:szCs w:val="4"/>
              </w:rPr>
            </w:pPr>
            <w:r>
              <w:rPr>
                <w:sz w:val="4"/>
                <w:szCs w:val="4"/>
              </w:rPr>
            </w:r>
          </w:p>
        </w:tc>
        <w:tc>
          <w:tcPr>
            <w:tcW w:w="2279" w:type="dxa"/>
            <w:tcBorders/>
            <w:vAlign w:val="center"/>
          </w:tcPr>
          <w:p>
            <w:pPr>
              <w:pStyle w:val="TableContents"/>
              <w:bidi w:val="0"/>
              <w:spacing w:before="0" w:after="283"/>
              <w:jc w:val="left"/>
              <w:rPr>
                <w:sz w:val="4"/>
                <w:szCs w:val="4"/>
              </w:rPr>
            </w:pPr>
            <w:r>
              <w:rPr>
                <w:sz w:val="4"/>
                <w:szCs w:val="4"/>
              </w:rPr>
            </w:r>
          </w:p>
        </w:tc>
        <w:tc>
          <w:tcPr>
            <w:tcW w:w="3242"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ppendix3cclassa20260911.htm">
              <w:r>
                <w:rPr>
                  <w:rStyle w:val="InternetLink"/>
                  <w:rFonts w:ascii="Times New Roman;serif" w:hAnsi="Times New Roman;serif"/>
                  <w:b w:val="false"/>
                  <w:color w:val="0000FF"/>
                  <w:sz w:val="20"/>
                  <w:u w:val="single"/>
                </w:rPr>
                <w:t>Information provided to the Australian Securities Exchange on the date noted on Exhibit 99.1.</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ppendix3cclassb20260911.htm">
              <w:r>
                <w:rPr>
                  <w:rStyle w:val="InternetLink"/>
                  <w:rFonts w:ascii="Times New Roman;serif" w:hAnsi="Times New Roman;serif"/>
                  <w:b w:val="false"/>
                  <w:color w:val="0000FF"/>
                  <w:sz w:val="20"/>
                  <w:u w:val="single"/>
                </w:rPr>
                <w:t>Information provided to the Australian Securities Exchange on the date noted on Exhibit 99.2.</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tbl>
      <w:tblPr>
        <w:tblW w:w="7722" w:type="dxa"/>
        <w:jc w:val="left"/>
        <w:tblInd w:w="0" w:type="dxa"/>
        <w:tblLayout w:type="fixed"/>
        <w:tblCellMar>
          <w:top w:w="28" w:type="dxa"/>
          <w:left w:w="28" w:type="dxa"/>
          <w:bottom w:w="28" w:type="dxa"/>
          <w:right w:w="28" w:type="dxa"/>
        </w:tblCellMar>
      </w:tblPr>
      <w:tblGrid>
        <w:gridCol w:w="124"/>
        <w:gridCol w:w="109"/>
        <w:gridCol w:w="109"/>
        <w:gridCol w:w="235"/>
        <w:gridCol w:w="235"/>
        <w:gridCol w:w="235"/>
        <w:gridCol w:w="235"/>
        <w:gridCol w:w="235"/>
        <w:gridCol w:w="235"/>
        <w:gridCol w:w="1732"/>
        <w:gridCol w:w="1732"/>
        <w:gridCol w:w="250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NEWS CORPORATION</w:t>
              <w:br/>
              <w:t>(REGISTRANT)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L. Bunder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Michael L. Bunder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Deputy General Counsel and Corporate Secretary</w:t>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Dated: September 14, 2026</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1139" w:type="dxa"/>
        <w:jc w:val="left"/>
        <w:tblInd w:w="0" w:type="dxa"/>
        <w:tblLayout w:type="fixed"/>
        <w:tblCellMar>
          <w:top w:w="28" w:type="dxa"/>
          <w:left w:w="28" w:type="dxa"/>
          <w:bottom w:w="28" w:type="dxa"/>
          <w:right w:w="28" w:type="dxa"/>
        </w:tblCellMar>
      </w:tblPr>
      <w:tblGrid>
        <w:gridCol w:w="364"/>
        <w:gridCol w:w="320"/>
        <w:gridCol w:w="455"/>
      </w:tblGrid>
      <w:tr>
        <w:trPr/>
        <w:tc>
          <w:tcPr>
            <w:tcW w:w="3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1139"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+Rule 3.8A</w:t>
            </w:r>
          </w:p>
        </w:tc>
      </w:tr>
    </w:tbl>
    <w:p>
      <w:pPr>
        <w:pStyle w:val="TextBody"/>
        <w:bidi w:val="0"/>
        <w:spacing w:lineRule="auto" w:line="240" w:before="60" w:after="60"/>
        <w:jc w:val="center"/>
        <w:rPr>
          <w:rFonts w:ascii="Arial;sans-serif" w:hAnsi="Arial;sans-serif"/>
          <w:b/>
          <w:color w:val="000000"/>
          <w:sz w:val="32"/>
        </w:rPr>
      </w:pPr>
      <w:r>
        <w:rPr>
          <w:rFonts w:ascii="Arial;sans-serif" w:hAnsi="Arial;sans-serif"/>
          <w:b/>
          <w:color w:val="000000"/>
          <w:sz w:val="32"/>
        </w:rPr>
        <w:t>Appendix 3C</w:t>
      </w:r>
    </w:p>
    <w:p>
      <w:pPr>
        <w:pStyle w:val="TextBody"/>
        <w:bidi w:val="0"/>
        <w:spacing w:lineRule="auto" w:line="240" w:before="60" w:after="60"/>
        <w:jc w:val="center"/>
        <w:rPr>
          <w:rFonts w:ascii="Arial;sans-serif" w:hAnsi="Arial;sans-serif"/>
          <w:b/>
          <w:color w:val="000000"/>
          <w:sz w:val="32"/>
        </w:rPr>
      </w:pPr>
      <w:r>
        <w:rPr>
          <w:rFonts w:ascii="Arial;sans-serif" w:hAnsi="Arial;sans-serif"/>
          <w:b/>
          <w:color w:val="000000"/>
          <w:sz w:val="32"/>
        </w:rPr>
        <w:t>Notification of buy-back</w:t>
      </w:r>
    </w:p>
    <w:p>
      <w:pPr>
        <w:pStyle w:val="TextBody"/>
        <w:bidi w:val="0"/>
        <w:spacing w:lineRule="auto" w:line="240" w:before="60" w:after="60"/>
        <w:jc w:val="left"/>
        <w:rPr>
          <w:rFonts w:ascii="Arial;sans-serif" w:hAnsi="Arial;sans-serif"/>
          <w:b w:val="false"/>
          <w:i/>
          <w:color w:val="000000"/>
          <w:sz w:val="20"/>
        </w:rPr>
      </w:pPr>
      <w:r>
        <w:rPr>
          <w:rFonts w:ascii="Arial;sans-serif" w:hAnsi="Arial;sans-serif"/>
          <w:b w:val="false"/>
          <w:i/>
          <w:color w:val="000000"/>
          <w:sz w:val="20"/>
        </w:rPr>
        <w:t>Information or documents not available now must be given to ASX as soon as available. Information and documents given to ASX become ASX’s property and may be made public.</w:t>
      </w:r>
    </w:p>
    <w:p>
      <w:pPr>
        <w:pStyle w:val="TextBody"/>
        <w:bidi w:val="0"/>
        <w:spacing w:lineRule="auto" w:line="240" w:before="60" w:after="60"/>
        <w:jc w:val="left"/>
        <w:rPr>
          <w:rFonts w:ascii="Arial;sans-serif" w:hAnsi="Arial;sans-serif"/>
          <w:b w:val="false"/>
          <w:i/>
          <w:color w:val="000000"/>
          <w:sz w:val="20"/>
        </w:rPr>
      </w:pPr>
      <w:r>
        <w:rPr>
          <w:rFonts w:ascii="Arial;sans-serif" w:hAnsi="Arial;sans-serif"/>
          <w:b w:val="false"/>
          <w:i/>
          <w:color w:val="000000"/>
          <w:sz w:val="20"/>
        </w:rPr>
        <w:t>*Denotes minimum information required for first lodgement of this form, with exceptions provided in specific notes for certain questions. The balance of the information, where applicable, must be provided as soon as reasonably practicable by the entity.</w:t>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1 – Entity and announcement details</w:t>
      </w:r>
    </w:p>
    <w:tbl>
      <w:tblPr>
        <w:tblW w:w="10205" w:type="dxa"/>
        <w:jc w:val="left"/>
        <w:tblInd w:w="0" w:type="dxa"/>
        <w:tblLayout w:type="fixed"/>
        <w:tblCellMar>
          <w:top w:w="28" w:type="dxa"/>
          <w:left w:w="28" w:type="dxa"/>
          <w:bottom w:w="28" w:type="dxa"/>
          <w:right w:w="28" w:type="dxa"/>
        </w:tblCellMar>
      </w:tblPr>
      <w:tblGrid>
        <w:gridCol w:w="356"/>
        <w:gridCol w:w="313"/>
        <w:gridCol w:w="314"/>
        <w:gridCol w:w="2333"/>
        <w:gridCol w:w="2067"/>
        <w:gridCol w:w="2073"/>
        <w:gridCol w:w="802"/>
        <w:gridCol w:w="802"/>
        <w:gridCol w:w="1145"/>
      </w:tblGrid>
      <w:tr>
        <w:trPr/>
        <w:tc>
          <w:tcPr>
            <w:tcW w:w="35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333" w:type="dxa"/>
            <w:tcBorders/>
            <w:vAlign w:val="center"/>
          </w:tcPr>
          <w:p>
            <w:pPr>
              <w:pStyle w:val="TableContents"/>
              <w:bidi w:val="0"/>
              <w:spacing w:before="0" w:after="283"/>
              <w:jc w:val="left"/>
              <w:rPr>
                <w:sz w:val="4"/>
                <w:szCs w:val="4"/>
              </w:rPr>
            </w:pPr>
            <w:r>
              <w:rPr>
                <w:sz w:val="4"/>
                <w:szCs w:val="4"/>
              </w:rPr>
            </w:r>
          </w:p>
        </w:tc>
        <w:tc>
          <w:tcPr>
            <w:tcW w:w="2067" w:type="dxa"/>
            <w:tcBorders/>
            <w:vAlign w:val="center"/>
          </w:tcPr>
          <w:p>
            <w:pPr>
              <w:pStyle w:val="TableContents"/>
              <w:bidi w:val="0"/>
              <w:spacing w:before="0" w:after="283"/>
              <w:jc w:val="left"/>
              <w:rPr>
                <w:sz w:val="4"/>
                <w:szCs w:val="4"/>
              </w:rPr>
            </w:pPr>
            <w:r>
              <w:rPr>
                <w:sz w:val="4"/>
                <w:szCs w:val="4"/>
              </w:rPr>
            </w:r>
          </w:p>
        </w:tc>
        <w:tc>
          <w:tcPr>
            <w:tcW w:w="2073"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Question no</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Question</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Answer</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1.1</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*Name of entity</w:t>
            </w:r>
          </w:p>
          <w:p>
            <w:pPr>
              <w:pStyle w:val="TableContents"/>
              <w:bidi w:val="0"/>
              <w:spacing w:lineRule="auto" w:line="240" w:before="60" w:after="60"/>
              <w:jc w:val="left"/>
              <w:rPr>
                <w:rFonts w:ascii="Arial;sans-serif" w:hAnsi="Arial;sans-serif"/>
                <w:b w:val="false"/>
                <w:color w:val="000000"/>
                <w:sz w:val="16"/>
              </w:rPr>
            </w:pPr>
            <w:r>
              <w:rPr>
                <w:rFonts w:ascii="Arial;sans-serif" w:hAnsi="Arial;sans-serif"/>
                <w:b w:val="false"/>
                <w:color w:val="000000"/>
                <w:sz w:val="16"/>
              </w:rPr>
              <w:t>We (the entity named above) provide the following information about our buy-back</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NEWS CORPORATION</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1.2</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*Registration type and number</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Please supply your ABN, ARSN, ARBN, ACN or another registration type and number (if you supply another registration type, please specify both the type of registration and the registration number).</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ARBN 163882933</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1.3</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*ASX issuer code</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NWS</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*The announcement is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Select whichever is applicable.</w:t>
            </w:r>
          </w:p>
        </w:tc>
        <w:tc>
          <w:tcPr>
            <w:tcW w:w="27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New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Update/amendment to previous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Cancellation of previous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Daily buy-back notification</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 xml:space="preserve">Not applicable for selective buy-backs </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(complete Part 4)</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Final buy-back notification</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(complete Part 5)</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1.4b</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*Reason for update</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w:t>
            </w:r>
          </w:p>
        </w:tc>
        <w:tc>
          <w:tcPr>
            <w:tcW w:w="27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Update to 3A.1</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1.4c</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of initial notification of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 or “Cancellation of previous announcement”.</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15/07/2025</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1.4d</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of previous announcement to this update</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11/09/2026</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1.5</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of this announcement</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14/09/2026</w:t>
            </w:r>
          </w:p>
        </w:tc>
      </w:tr>
      <w:tr>
        <w:trPr/>
        <w:tc>
          <w:tcPr>
            <w:tcW w:w="983"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1.6</w:t>
            </w:r>
          </w:p>
        </w:tc>
        <w:tc>
          <w:tcPr>
            <w:tcW w:w="6473"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*Class of +securities the subject of the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only one type of buy-back for one class of security can be advised in this notification. If a buy-back extends to more than one class of security, a separate notification is required for each class.</w:t>
            </w:r>
          </w:p>
        </w:tc>
        <w:tc>
          <w:tcPr>
            <w:tcW w:w="274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ASX Security Code: NWSAA</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Security Description: COMMON STOCK CLASS A</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756285"/>
                <wp:effectExtent l="0" t="0" r="0" b="0"/>
                <wp:wrapNone/>
                <wp:docPr id="5" name="Frame4"/>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1</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p>
      <w:pPr>
        <w:pStyle w:val="TextBody"/>
        <w:bidi w:val="0"/>
        <w:spacing w:lineRule="auto" w:line="240" w:before="120" w:after="120"/>
        <w:jc w:val="left"/>
        <w:rPr>
          <w:rFonts w:ascii="Arial;sans-serif" w:hAnsi="Arial;sans-serif"/>
          <w:b w:val="false"/>
          <w:color w:val="000000"/>
          <w:sz w:val="28"/>
        </w:rPr>
      </w:pPr>
      <w:r>
        <w:rPr>
          <w:rFonts w:ascii="Arial;sans-serif" w:hAnsi="Arial;sans-serif"/>
          <w:b w:val="false"/>
          <w:color w:val="000000"/>
          <w:sz w:val="28"/>
        </w:rPr>
        <w:t xml:space="preserve">Part 2 –Type of buy-back </w:t>
      </w:r>
    </w:p>
    <w:tbl>
      <w:tblPr>
        <w:tblW w:w="10205" w:type="dxa"/>
        <w:jc w:val="left"/>
        <w:tblInd w:w="0" w:type="dxa"/>
        <w:tblLayout w:type="fixed"/>
        <w:tblCellMar>
          <w:top w:w="28" w:type="dxa"/>
          <w:left w:w="28" w:type="dxa"/>
          <w:bottom w:w="28" w:type="dxa"/>
          <w:right w:w="28" w:type="dxa"/>
        </w:tblCellMar>
      </w:tblPr>
      <w:tblGrid>
        <w:gridCol w:w="332"/>
        <w:gridCol w:w="291"/>
        <w:gridCol w:w="292"/>
        <w:gridCol w:w="1197"/>
        <w:gridCol w:w="1197"/>
        <w:gridCol w:w="1210"/>
        <w:gridCol w:w="1890"/>
        <w:gridCol w:w="1564"/>
        <w:gridCol w:w="2232"/>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890"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2232" w:type="dxa"/>
            <w:tcBorders/>
            <w:vAlign w:val="center"/>
          </w:tcPr>
          <w:p>
            <w:pPr>
              <w:pStyle w:val="TableContents"/>
              <w:bidi w:val="0"/>
              <w:spacing w:before="0" w:after="283"/>
              <w:jc w:val="left"/>
              <w:rPr>
                <w:sz w:val="4"/>
                <w:szCs w:val="4"/>
              </w:rPr>
            </w:pPr>
            <w:r>
              <w:rPr>
                <w:sz w:val="4"/>
                <w:szCs w:val="4"/>
              </w:rPr>
            </w:r>
          </w:p>
        </w:tc>
      </w:tr>
      <w:tr>
        <w:trPr/>
        <w:tc>
          <w:tcPr>
            <w:tcW w:w="9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Question No.</w:t>
            </w:r>
          </w:p>
        </w:tc>
        <w:tc>
          <w:tcPr>
            <w:tcW w:w="360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Question</w:t>
            </w:r>
          </w:p>
        </w:tc>
        <w:tc>
          <w:tcPr>
            <w:tcW w:w="568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Answer</w:t>
            </w:r>
          </w:p>
        </w:tc>
      </w:tr>
      <w:tr>
        <w:trPr/>
        <w:tc>
          <w:tcPr>
            <w:tcW w:w="9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2.1</w:t>
            </w:r>
          </w:p>
        </w:tc>
        <w:tc>
          <w:tcPr>
            <w:tcW w:w="360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Helvetica;sans-serif" w:hAnsi="Helvetica;sans-serif"/>
                <w:b w:val="false"/>
                <w:color w:val="000000"/>
                <w:sz w:val="20"/>
              </w:rPr>
            </w:pPr>
            <w:r>
              <w:rPr>
                <w:rFonts w:ascii="Helvetica;sans-serif" w:hAnsi="Helvetica;sans-serif"/>
                <w:b w:val="false"/>
                <w:color w:val="000000"/>
                <w:sz w:val="20"/>
              </w:rPr>
              <w:t>*The type of buy-back is</w:t>
            </w:r>
          </w:p>
          <w:p>
            <w:pPr>
              <w:pStyle w:val="TableContents"/>
              <w:bidi w:val="0"/>
              <w:spacing w:lineRule="auto" w:line="288" w:before="60" w:after="60"/>
              <w:jc w:val="left"/>
              <w:rPr>
                <w:rFonts w:ascii="Arial;sans-serif" w:hAnsi="Arial;sans-serif"/>
                <w:b w:val="false"/>
                <w:i/>
                <w:color w:val="000000"/>
                <w:sz w:val="16"/>
              </w:rPr>
            </w:pPr>
            <w:r>
              <w:rPr>
                <w:rFonts w:ascii="Arial;sans-serif" w:hAnsi="Arial;sans-serif"/>
                <w:b w:val="false"/>
                <w:i/>
                <w:color w:val="000000"/>
                <w:sz w:val="16"/>
              </w:rPr>
              <w:t>Note this form is not required for minimum holding buy-backs (i.e. buy-backs of unmarketable parcels). The only notification required to ASX for a minimum holding buy-back is the lodgement of an Appendix 3H within 5 business days of the completion of the minimum holding buy-back notifying ASX of the cancellation of the securities bought back in accordance with listing rule 3.8A.</w:t>
            </w:r>
          </w:p>
        </w:tc>
        <w:tc>
          <w:tcPr>
            <w:tcW w:w="568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Employee share scheme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On-market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Equal access scheme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Selective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Other buy-back</w:t>
            </w:r>
          </w:p>
          <w:p>
            <w:pPr>
              <w:pStyle w:val="TableContents"/>
              <w:bidi w:val="0"/>
              <w:spacing w:lineRule="auto" w:line="240" w:before="60" w:after="60"/>
              <w:jc w:val="left"/>
              <w:rPr>
                <w:rFonts w:ascii="Helvetica;sans-serif" w:hAnsi="Helvetica;sans-serif"/>
                <w:b w:val="false"/>
                <w:i/>
                <w:color w:val="000000"/>
                <w:sz w:val="16"/>
              </w:rPr>
            </w:pPr>
            <w:r>
              <w:rPr>
                <w:rFonts w:ascii="Helvetica;sans-serif" w:hAnsi="Helvetica;sans-serif"/>
                <w:b w:val="false"/>
                <w:i/>
                <w:color w:val="000000"/>
                <w:sz w:val="16"/>
              </w:rPr>
              <w:t>Select one item.</w:t>
            </w:r>
          </w:p>
          <w:p>
            <w:pPr>
              <w:pStyle w:val="TableContents"/>
              <w:bidi w:val="0"/>
              <w:spacing w:lineRule="auto" w:line="240" w:before="60" w:after="60"/>
              <w:jc w:val="left"/>
              <w:rPr>
                <w:rFonts w:ascii="Helvetica;sans-serif" w:hAnsi="Helvetica;sans-serif"/>
                <w:b w:val="false"/>
                <w:i/>
                <w:color w:val="000000"/>
                <w:sz w:val="16"/>
              </w:rPr>
            </w:pPr>
            <w:r>
              <w:rPr>
                <w:rFonts w:ascii="Helvetica;sans-serif" w:hAnsi="Helvetica;sans-serif"/>
                <w:b w:val="false"/>
                <w:i/>
                <w:color w:val="000000"/>
                <w:sz w:val="16"/>
              </w:rPr>
              <w:t>Note: “Other buy-back” does not include a minimum holding buy-back. The section “Other buy-back” will generally only be applicable to an entity established outside Australia.</w:t>
            </w:r>
          </w:p>
        </w:tc>
      </w:tr>
      <w:tr>
        <w:trPr/>
        <w:tc>
          <w:tcPr>
            <w:tcW w:w="91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w:t>
            </w:r>
          </w:p>
        </w:tc>
        <w:tc>
          <w:tcPr>
            <w:tcW w:w="360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Helvetica;sans-serif" w:hAnsi="Helvetica;sans-serif"/>
                <w:b w:val="false"/>
                <w:color w:val="000000"/>
                <w:sz w:val="20"/>
              </w:rPr>
            </w:pPr>
            <w:r>
              <w:rPr>
                <w:rFonts w:ascii="Helvetica;sans-serif" w:hAnsi="Helvetica;sans-serif"/>
                <w:b w:val="false"/>
                <w:color w:val="000000"/>
                <w:sz w:val="20"/>
              </w:rPr>
              <w:t>Please describe the type of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“Other buy-back”.</w:t>
            </w:r>
          </w:p>
        </w:tc>
        <w:tc>
          <w:tcPr>
            <w:tcW w:w="5686"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Repurchase program for up to an aggregate of US$1 billion of the Company’s Nasdaq-listed Class A common stock and Class B common stock authorized as of July 15, 2025 (the “2025 Repurchase Program”). Subject to market conditions and the market price of the Company’s stock, as well as other factors, the Company intends to repurchase, from time to time, in the open market or otherwise, a combination of the Company’s Class A common stock and Class B common stock. No ASX-listed CDIs will be repurchased in these programs.</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 –Buy-back details</w:t>
      </w:r>
    </w:p>
    <w:p>
      <w:pPr>
        <w:pStyle w:val="TextBody"/>
        <w:bidi w:val="0"/>
        <w:spacing w:lineRule="auto" w:line="240" w:before="120" w:after="120"/>
        <w:jc w:val="left"/>
        <w:rPr>
          <w:rFonts w:ascii="Arial;sans-serif" w:hAnsi="Arial;sans-serif"/>
          <w:b w:val="false"/>
          <w:color w:val="000000"/>
          <w:sz w:val="28"/>
        </w:rPr>
      </w:pPr>
      <w:r>
        <w:rPr>
          <w:rFonts w:ascii="Arial;sans-serif" w:hAnsi="Arial;sans-serif"/>
          <w:b w:val="false"/>
          <w:color w:val="000000"/>
          <w:sz w:val="28"/>
        </w:rPr>
        <w:t>Part 3A – Details of +securities, price and reason</w:t>
      </w:r>
    </w:p>
    <w:tbl>
      <w:tblPr>
        <w:tblW w:w="10205" w:type="dxa"/>
        <w:jc w:val="left"/>
        <w:tblInd w:w="0" w:type="dxa"/>
        <w:tblLayout w:type="fixed"/>
        <w:tblCellMar>
          <w:top w:w="28" w:type="dxa"/>
          <w:left w:w="28" w:type="dxa"/>
          <w:bottom w:w="28" w:type="dxa"/>
          <w:right w:w="28" w:type="dxa"/>
        </w:tblCellMar>
      </w:tblPr>
      <w:tblGrid>
        <w:gridCol w:w="165"/>
        <w:gridCol w:w="145"/>
        <w:gridCol w:w="146"/>
        <w:gridCol w:w="1352"/>
        <w:gridCol w:w="1352"/>
        <w:gridCol w:w="1355"/>
        <w:gridCol w:w="1664"/>
        <w:gridCol w:w="1664"/>
        <w:gridCol w:w="2362"/>
      </w:tblGrid>
      <w:tr>
        <w:trPr/>
        <w:tc>
          <w:tcPr>
            <w:tcW w:w="16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2362" w:type="dxa"/>
            <w:tcBorders/>
            <w:vAlign w:val="center"/>
          </w:tcPr>
          <w:p>
            <w:pPr>
              <w:pStyle w:val="TableContents"/>
              <w:bidi w:val="0"/>
              <w:spacing w:before="0" w:after="283"/>
              <w:jc w:val="left"/>
              <w:rPr>
                <w:sz w:val="4"/>
                <w:szCs w:val="4"/>
              </w:rPr>
            </w:pPr>
            <w:r>
              <w:rPr>
                <w:sz w:val="4"/>
                <w:szCs w:val="4"/>
              </w:rPr>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3A.1</w:t>
            </w:r>
          </w:p>
        </w:tc>
        <w:tc>
          <w:tcPr>
            <w:tcW w:w="40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number of +securities on issue in the class of +securities to be bought 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359,720,370</w:t>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3A.2</w:t>
            </w:r>
          </w:p>
        </w:tc>
        <w:tc>
          <w:tcPr>
            <w:tcW w:w="40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 xml:space="preserve">*Total number of +securities proposed to be bought back </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“Employee share scheme buy-back, “Selective buy-back” or “Other buy-back”.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Company may purchase up to an aggregate of US$1 billion of Class A common stock and Class B common stock under the 2025 Repurchase Program.</w:t>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3A.4</w:t>
            </w:r>
          </w:p>
        </w:tc>
        <w:tc>
          <w:tcPr>
            <w:tcW w:w="40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entity intend to buy back a minimum number of +securities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5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3A.5</w:t>
            </w:r>
          </w:p>
        </w:tc>
        <w:tc>
          <w:tcPr>
            <w:tcW w:w="405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entity intend to buy back a maximum number of securities?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690"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Yes</w:t>
            </w:r>
          </w:p>
        </w:tc>
      </w:tr>
    </w:tbl>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756285"/>
                <wp:effectExtent l="0" t="0" r="0" b="0"/>
                <wp:wrapNone/>
                <wp:docPr id="6" name="Frame5"/>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2</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tbl>
      <w:tblPr>
        <w:tblW w:w="10205" w:type="dxa"/>
        <w:jc w:val="left"/>
        <w:tblInd w:w="0" w:type="dxa"/>
        <w:tblLayout w:type="fixed"/>
        <w:tblCellMar>
          <w:top w:w="28" w:type="dxa"/>
          <w:left w:w="28" w:type="dxa"/>
          <w:bottom w:w="28" w:type="dxa"/>
          <w:right w:w="28" w:type="dxa"/>
        </w:tblCellMar>
      </w:tblPr>
      <w:tblGrid>
        <w:gridCol w:w="201"/>
        <w:gridCol w:w="178"/>
        <w:gridCol w:w="179"/>
        <w:gridCol w:w="1351"/>
        <w:gridCol w:w="1228"/>
        <w:gridCol w:w="1232"/>
        <w:gridCol w:w="1706"/>
        <w:gridCol w:w="1706"/>
        <w:gridCol w:w="2424"/>
      </w:tblGrid>
      <w:tr>
        <w:trPr/>
        <w:tc>
          <w:tcPr>
            <w:tcW w:w="20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2424" w:type="dxa"/>
            <w:tcBorders/>
            <w:vAlign w:val="center"/>
          </w:tcPr>
          <w:p>
            <w:pPr>
              <w:pStyle w:val="TableContents"/>
              <w:bidi w:val="0"/>
              <w:spacing w:before="0" w:after="283"/>
              <w:jc w:val="left"/>
              <w:rPr>
                <w:sz w:val="4"/>
                <w:szCs w:val="4"/>
              </w:rPr>
            </w:pPr>
            <w:r>
              <w:rPr>
                <w:sz w:val="4"/>
                <w:szCs w:val="4"/>
              </w:rPr>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3A.5a</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*Maximum number of +securities proposed to be bought 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 and your response to Q 3A.5 is “Yes”.</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Company may purchase up to an aggregate of US$1 billion of Class A common stock and Class B common stock under the 2025 Repurchase Program.</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3A.6</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pPr>
            <w:r>
              <w:rPr>
                <w:rFonts w:ascii="Arial Narrow;sans-serif" w:hAnsi="Arial Narrow;sans-serif"/>
                <w:b w:val="false"/>
                <w:color w:val="000000"/>
                <w:sz w:val="20"/>
              </w:rPr>
              <w:t>*</w:t>
            </w:r>
            <w:r>
              <w:rPr>
                <w:rFonts w:ascii="Arial;sans-serif" w:hAnsi="Arial;sans-serif"/>
                <w:b w:val="false"/>
                <w:color w:val="000000"/>
                <w:sz w:val="20"/>
              </w:rPr>
              <w:t>Name of broker or brokers who will offer to buy back +securities on the entity’s behalf</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Goldman Sachs &amp; Co. LLC</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 +securities being bought back for a cash consideration?</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if the securities are being bought back for nil cash consideration, answer this question “No”.</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Yes</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3A.9a</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*Is the price to be paid for +securities bought back known?</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3A.9 is “Yes”.</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3A.9a(i)</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*In what currency will the buy-back consideration be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3A.9 is “Yes”.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all prices below are to be expressed in this currency.</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USD – US Dollar</w:t>
            </w:r>
          </w:p>
        </w:tc>
      </w:tr>
      <w:tr>
        <w:trPr/>
        <w:tc>
          <w:tcPr>
            <w:tcW w:w="558"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3A.12</w:t>
            </w:r>
          </w:p>
        </w:tc>
        <w:tc>
          <w:tcPr>
            <w:tcW w:w="381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*Reason for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“Other buy-back”.</w:t>
            </w:r>
          </w:p>
        </w:tc>
        <w:tc>
          <w:tcPr>
            <w:tcW w:w="5836"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 enhance shareholder value</w:t>
            </w:r>
          </w:p>
        </w:tc>
      </w:tr>
    </w:tbl>
    <w:p>
      <w:pPr>
        <w:pStyle w:val="TextBody"/>
        <w:bidi w:val="0"/>
        <w:spacing w:before="60" w:after="60"/>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3B – Buy-back restrictions and conditions</w:t>
      </w:r>
    </w:p>
    <w:p>
      <w:pPr>
        <w:pStyle w:val="TextBody"/>
        <w:bidi w:val="0"/>
        <w:spacing w:before="60" w:after="60"/>
        <w:jc w:val="left"/>
        <w:rPr/>
      </w:pPr>
      <w:r>
        <w:rPr/>
      </w:r>
    </w:p>
    <w:tbl>
      <w:tblPr>
        <w:tblW w:w="10205" w:type="dxa"/>
        <w:jc w:val="left"/>
        <w:tblInd w:w="0" w:type="dxa"/>
        <w:tblLayout w:type="fixed"/>
        <w:tblCellMar>
          <w:top w:w="28" w:type="dxa"/>
          <w:left w:w="28" w:type="dxa"/>
          <w:bottom w:w="28" w:type="dxa"/>
          <w:right w:w="28" w:type="dxa"/>
        </w:tblCellMar>
      </w:tblPr>
      <w:tblGrid>
        <w:gridCol w:w="179"/>
        <w:gridCol w:w="158"/>
        <w:gridCol w:w="159"/>
        <w:gridCol w:w="3158"/>
        <w:gridCol w:w="3073"/>
        <w:gridCol w:w="3083"/>
        <w:gridCol w:w="114"/>
        <w:gridCol w:w="114"/>
        <w:gridCol w:w="167"/>
      </w:tblGrid>
      <w:tr>
        <w:trPr/>
        <w:tc>
          <w:tcPr>
            <w:tcW w:w="17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158" w:type="dxa"/>
            <w:tcBorders/>
            <w:vAlign w:val="center"/>
          </w:tcPr>
          <w:p>
            <w:pPr>
              <w:pStyle w:val="TableContents"/>
              <w:bidi w:val="0"/>
              <w:spacing w:before="0" w:after="283"/>
              <w:jc w:val="left"/>
              <w:rPr>
                <w:sz w:val="4"/>
                <w:szCs w:val="4"/>
              </w:rPr>
            </w:pPr>
            <w:r>
              <w:rPr>
                <w:sz w:val="4"/>
                <w:szCs w:val="4"/>
              </w:rPr>
            </w:r>
          </w:p>
        </w:tc>
        <w:tc>
          <w:tcPr>
            <w:tcW w:w="3073" w:type="dxa"/>
            <w:tcBorders/>
            <w:vAlign w:val="center"/>
          </w:tcPr>
          <w:p>
            <w:pPr>
              <w:pStyle w:val="TableContents"/>
              <w:bidi w:val="0"/>
              <w:spacing w:before="0" w:after="283"/>
              <w:jc w:val="left"/>
              <w:rPr>
                <w:sz w:val="4"/>
                <w:szCs w:val="4"/>
              </w:rPr>
            </w:pPr>
            <w:r>
              <w:rPr>
                <w:sz w:val="4"/>
                <w:szCs w:val="4"/>
              </w:rPr>
            </w:r>
          </w:p>
        </w:tc>
        <w:tc>
          <w:tcPr>
            <w:tcW w:w="308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9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3B.1</w:t>
            </w:r>
          </w:p>
        </w:tc>
        <w:tc>
          <w:tcPr>
            <w:tcW w:w="93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buy-back require security holder approval?</w:t>
            </w:r>
          </w:p>
          <w:p>
            <w:pPr>
              <w:pStyle w:val="TableContents"/>
              <w:bidi w:val="0"/>
              <w:spacing w:lineRule="auto" w:line="240" w:before="60" w:after="60"/>
              <w:jc w:val="left"/>
              <w:rPr>
                <w:rFonts w:ascii="Arial;sans-serif" w:hAnsi="Arial;sans-serif"/>
                <w:b w:val="false"/>
                <w:i/>
                <w:color w:val="000000"/>
                <w:sz w:val="16"/>
                <w:shd w:fill="FFFFFF" w:val="clear"/>
              </w:rPr>
            </w:pPr>
            <w:r>
              <w:rPr>
                <w:rFonts w:ascii="Arial;sans-serif" w:hAnsi="Arial;sans-serif"/>
                <w:b w:val="false"/>
                <w:i/>
                <w:color w:val="000000"/>
                <w:sz w:val="16"/>
                <w:shd w:fill="FFFFFF" w:val="clear"/>
              </w:rPr>
              <w:t>Disregard any security holder approval that has already been obtained.</w:t>
            </w:r>
          </w:p>
        </w:tc>
        <w:tc>
          <w:tcPr>
            <w:tcW w:w="39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9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3B.2</w:t>
            </w:r>
          </w:p>
        </w:tc>
        <w:tc>
          <w:tcPr>
            <w:tcW w:w="93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there any restrictions on foreign participation in the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“Equal access scheme buy-back”, “Selective buy-back” or “Other buy-back”.</w:t>
            </w:r>
          </w:p>
        </w:tc>
        <w:tc>
          <w:tcPr>
            <w:tcW w:w="39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9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3B.3</w:t>
            </w:r>
          </w:p>
        </w:tc>
        <w:tc>
          <w:tcPr>
            <w:tcW w:w="931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there any other conditions that need to be satisfied before the buy-back offer becomes unconditional</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“Employee share scheme buy-back, “Equal access scheme buy-back”, “Selective buy-back” or “Other buy-back”</w:t>
            </w:r>
          </w:p>
        </w:tc>
        <w:tc>
          <w:tcPr>
            <w:tcW w:w="395"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bl>
    <w:p>
      <w:pPr>
        <w:pStyle w:val="TextBody"/>
        <w:bidi w:val="0"/>
        <w:spacing w:before="60" w:after="60"/>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3C - Key dates</w:t>
      </w:r>
    </w:p>
    <w:tbl>
      <w:tblPr>
        <w:tblW w:w="10205" w:type="dxa"/>
        <w:jc w:val="left"/>
        <w:tblInd w:w="0" w:type="dxa"/>
        <w:tblLayout w:type="fixed"/>
        <w:tblCellMar>
          <w:top w:w="28" w:type="dxa"/>
          <w:left w:w="28" w:type="dxa"/>
          <w:bottom w:w="28" w:type="dxa"/>
          <w:right w:w="28" w:type="dxa"/>
        </w:tblCellMar>
      </w:tblPr>
      <w:tblGrid>
        <w:gridCol w:w="1198"/>
        <w:gridCol w:w="1054"/>
        <w:gridCol w:w="1054"/>
        <w:gridCol w:w="1097"/>
        <w:gridCol w:w="1075"/>
        <w:gridCol w:w="1075"/>
        <w:gridCol w:w="1059"/>
        <w:gridCol w:w="1054"/>
        <w:gridCol w:w="1539"/>
      </w:tblGrid>
      <w:tr>
        <w:trPr/>
        <w:tc>
          <w:tcPr>
            <w:tcW w:w="1198"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jc w:val="left"/>
              <w:rPr>
                <w:rFonts w:ascii="Arial;sans-serif" w:hAnsi="Arial;sans-serif"/>
                <w:b/>
                <w:color w:val="000000"/>
                <w:sz w:val="20"/>
              </w:rPr>
            </w:pPr>
            <w:r>
              <w:rPr>
                <w:rFonts w:ascii="Arial;sans-serif" w:hAnsi="Arial;sans-serif"/>
                <w:b/>
                <w:color w:val="000000"/>
                <w:sz w:val="20"/>
              </w:rPr>
              <w:t>Employee Share Scheme, Selective and Other Buy-Backs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 questions in this part if your response to Q 2.1 is “Employee share scheme buy-back”, “Selective buy-back” or “Other buy-back”</w:t>
            </w:r>
          </w:p>
        </w:tc>
      </w:tr>
      <w:tr>
        <w:trPr/>
        <w:tc>
          <w:tcPr>
            <w:tcW w:w="330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3C.1</w:t>
            </w:r>
          </w:p>
        </w:tc>
        <w:tc>
          <w:tcPr>
            <w:tcW w:w="3247"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pPr>
            <w:r>
              <w:rPr>
                <w:rFonts w:ascii="Arial;sans-serif" w:hAnsi="Arial;sans-serif"/>
                <w:b/>
                <w:color w:val="000000"/>
                <w:sz w:val="20"/>
              </w:rPr>
              <w:t>*</w:t>
            </w:r>
            <w:r>
              <w:rPr>
                <w:rFonts w:ascii="Arial;sans-serif" w:hAnsi="Arial;sans-serif"/>
                <w:b w:val="false"/>
                <w:color w:val="000000"/>
                <w:sz w:val="20"/>
              </w:rPr>
              <w:t>Anticipated date buy-back will occur</w:t>
            </w:r>
          </w:p>
        </w:tc>
        <w:tc>
          <w:tcPr>
            <w:tcW w:w="3652"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22/9/2021</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3D – Other information</w:t>
      </w:r>
    </w:p>
    <w:tbl>
      <w:tblPr>
        <w:tblW w:w="7571" w:type="dxa"/>
        <w:jc w:val="left"/>
        <w:tblInd w:w="0" w:type="dxa"/>
        <w:tblLayout w:type="fixed"/>
        <w:tblCellMar>
          <w:top w:w="28" w:type="dxa"/>
          <w:left w:w="28" w:type="dxa"/>
          <w:bottom w:w="28" w:type="dxa"/>
          <w:right w:w="28" w:type="dxa"/>
        </w:tblCellMar>
      </w:tblPr>
      <w:tblGrid>
        <w:gridCol w:w="189"/>
        <w:gridCol w:w="167"/>
        <w:gridCol w:w="168"/>
        <w:gridCol w:w="2223"/>
        <w:gridCol w:w="2223"/>
        <w:gridCol w:w="2229"/>
        <w:gridCol w:w="109"/>
        <w:gridCol w:w="109"/>
        <w:gridCol w:w="154"/>
      </w:tblGrid>
      <w:tr>
        <w:trPr/>
        <w:tc>
          <w:tcPr>
            <w:tcW w:w="18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3D.1</w:t>
            </w:r>
          </w:p>
        </w:tc>
        <w:tc>
          <w:tcPr>
            <w:tcW w:w="667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Any other information the entity wishes to notify to ASX about the buy-back</w:t>
            </w:r>
          </w:p>
        </w:tc>
        <w:tc>
          <w:tcPr>
            <w:tcW w:w="372"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120"/>
        <w:ind w:left="0" w:right="0" w:hanging="1701"/>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756285"/>
                <wp:effectExtent l="0" t="0" r="0" b="0"/>
                <wp:wrapNone/>
                <wp:docPr id="7" name="Frame6"/>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3</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 xml:space="preserve">Part 4 – Daily buy-back notification </w:t>
      </w:r>
    </w:p>
    <w:p>
      <w:pPr>
        <w:pStyle w:val="TextBody"/>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 questions in this part if your response to Q 2.1 is “Employee share scheme buy-back”, “On-market buy-back”, “Equal access share scheme buy-back” or “Other buy-back”) and you are giving a daily buy-back notification under listing rule 3.8A.</w:t>
      </w:r>
    </w:p>
    <w:p>
      <w:pPr>
        <w:pStyle w:val="TextBody"/>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 daily buy-back notification must be submitted for these types of buy-backs at least half an hour before the commencement of trading on the business day after any day on which securities are bought back (per listing rule 3.8A).</w:t>
      </w:r>
    </w:p>
    <w:tbl>
      <w:tblPr>
        <w:tblW w:w="10205" w:type="dxa"/>
        <w:jc w:val="left"/>
        <w:tblInd w:w="0" w:type="dxa"/>
        <w:tblLayout w:type="fixed"/>
        <w:tblCellMar>
          <w:top w:w="28" w:type="dxa"/>
          <w:left w:w="28" w:type="dxa"/>
          <w:bottom w:w="28" w:type="dxa"/>
          <w:right w:w="28" w:type="dxa"/>
        </w:tblCellMar>
      </w:tblPr>
      <w:tblGrid>
        <w:gridCol w:w="141"/>
        <w:gridCol w:w="124"/>
        <w:gridCol w:w="126"/>
        <w:gridCol w:w="1197"/>
        <w:gridCol w:w="687"/>
        <w:gridCol w:w="622"/>
        <w:gridCol w:w="888"/>
        <w:gridCol w:w="612"/>
        <w:gridCol w:w="354"/>
        <w:gridCol w:w="1681"/>
        <w:gridCol w:w="1681"/>
        <w:gridCol w:w="2092"/>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2092"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4.1</w:t>
            </w:r>
          </w:p>
        </w:tc>
        <w:tc>
          <w:tcPr>
            <w:tcW w:w="4360"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of this notification</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14/09/2026</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4.2</w:t>
            </w:r>
          </w:p>
        </w:tc>
        <w:tc>
          <w:tcPr>
            <w:tcW w:w="4360" w:type="dxa"/>
            <w:gridSpan w:val="6"/>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*Previous day on which +securities were bought back</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11/09/2026</w:t>
            </w:r>
          </w:p>
        </w:tc>
      </w:tr>
      <w:tr>
        <w:trPr/>
        <w:tc>
          <w:tcPr>
            <w:tcW w:w="39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50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Before previous day</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On previous day</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4.3</w:t>
            </w:r>
          </w:p>
        </w:tc>
        <w:tc>
          <w:tcPr>
            <w:tcW w:w="25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number of +securities bought back, or in relation to which acceptances have been received</w:t>
            </w:r>
          </w:p>
        </w:tc>
        <w:tc>
          <w:tcPr>
            <w:tcW w:w="18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11,844,896</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58,482</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4.4</w:t>
            </w:r>
          </w:p>
        </w:tc>
        <w:tc>
          <w:tcPr>
            <w:tcW w:w="25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*Total consideration paid or payable for the +securities </w:t>
            </w:r>
          </w:p>
        </w:tc>
        <w:tc>
          <w:tcPr>
            <w:tcW w:w="18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US$308,114,682.85 </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US$1,721,867.98 </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4.5</w:t>
            </w:r>
          </w:p>
        </w:tc>
        <w:tc>
          <w:tcPr>
            <w:tcW w:w="25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*Highest price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these questions if your response to Q 2.1 is “On-market buy-back”.</w:t>
            </w:r>
          </w:p>
        </w:tc>
        <w:tc>
          <w:tcPr>
            <w:tcW w:w="18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US$31.58</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highest price was paid: 27/08/2026</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US$29.63</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4.6</w:t>
            </w:r>
          </w:p>
        </w:tc>
        <w:tc>
          <w:tcPr>
            <w:tcW w:w="250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*Lowest price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these questions if your response to Q 2.1 is “On-market buy-back”.</w:t>
            </w:r>
          </w:p>
        </w:tc>
        <w:tc>
          <w:tcPr>
            <w:tcW w:w="185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US$22.20</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lowest price was paid: 09/02/2026</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US$29.23</w:t>
            </w:r>
          </w:p>
        </w:tc>
      </w:tr>
      <w:tr>
        <w:trPr/>
        <w:tc>
          <w:tcPr>
            <w:tcW w:w="391"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4.8</w:t>
            </w:r>
          </w:p>
        </w:tc>
        <w:tc>
          <w:tcPr>
            <w:tcW w:w="4360" w:type="dxa"/>
            <w:gridSpan w:val="6"/>
            <w:tcBorders>
              <w:left w:val="single" w:sz="4" w:space="0" w:color="000000"/>
              <w:bottom w:val="single" w:sz="4" w:space="0" w:color="000000"/>
            </w:tcBorders>
            <w:tcMar>
              <w:top w:w="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*If the entity has disclosed an intention to buy back a maximum number of +securities, the remaining number of +securities to be bought back as at the end of the previous day</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ASX has calculated this number for you based on previous notifications. If it is not correct, please amend it to the correct number and consider whether any updates need to be made to previous notifications.</w:t>
            </w:r>
          </w:p>
        </w:tc>
        <w:tc>
          <w:tcPr>
            <w:tcW w:w="545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The company is authorized to acquire up to an aggregate of US$1 billion of the Company’s Nasdaq-listed Class A common stock and Class B common stock under the 2025 Repurchase Program. To date, the company has purchased approximately US$473,565,291 worth of Class A and Class B shares (based on total consideration paid) under the 2025 Repurchase Program.</w:t>
            </w:r>
          </w:p>
        </w:tc>
      </w:tr>
    </w:tbl>
    <w:p>
      <w:pPr>
        <w:pStyle w:val="TextBody"/>
        <w:bidi w:val="0"/>
        <w:spacing w:before="60" w:after="60"/>
        <w:jc w:val="left"/>
        <w:rPr/>
      </w:pPr>
      <w:r>
        <w:rPr/>
      </w:r>
    </w:p>
    <w:p>
      <w:pPr>
        <w:pStyle w:val="TextBody"/>
        <w:bidi w:val="0"/>
        <w:spacing w:lineRule="auto" w:line="240" w:before="60" w:after="60"/>
        <w:jc w:val="left"/>
        <w:rPr>
          <w:rFonts w:ascii="Arial;sans-serif" w:hAnsi="Arial;sans-serif"/>
          <w:b w:val="false"/>
          <w:color w:val="000000"/>
          <w:sz w:val="16"/>
        </w:rPr>
      </w:pPr>
      <w:r>
        <w:rPr>
          <w:rFonts w:ascii="Arial;sans-serif" w:hAnsi="Arial;sans-serif"/>
          <w:b w:val="false"/>
          <w:color w:val="000000"/>
          <w:sz w:val="16"/>
        </w:rPr>
        <w:t>Introduced 05/06/21</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756285"/>
                <wp:effectExtent l="0" t="0" r="0" b="0"/>
                <wp:wrapNone/>
                <wp:docPr id="8" name="Frame7"/>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4</w:t>
                      </w:r>
                    </w:p>
                  </w:txbxContent>
                </v:textbox>
                <w10:wrap type="none"/>
              </v:rect>
            </w:pict>
          </mc:Fallback>
        </mc:AlternateContent>
      </w:r>
    </w:p>
    <w:tbl>
      <w:tblPr>
        <w:tblW w:w="1139" w:type="dxa"/>
        <w:jc w:val="left"/>
        <w:tblInd w:w="0" w:type="dxa"/>
        <w:tblLayout w:type="fixed"/>
        <w:tblCellMar>
          <w:top w:w="28" w:type="dxa"/>
          <w:left w:w="28" w:type="dxa"/>
          <w:bottom w:w="28" w:type="dxa"/>
          <w:right w:w="28" w:type="dxa"/>
        </w:tblCellMar>
      </w:tblPr>
      <w:tblGrid>
        <w:gridCol w:w="364"/>
        <w:gridCol w:w="320"/>
        <w:gridCol w:w="455"/>
      </w:tblGrid>
      <w:tr>
        <w:trPr/>
        <w:tc>
          <w:tcPr>
            <w:tcW w:w="3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1139"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+Rule 3.8A</w:t>
            </w:r>
          </w:p>
        </w:tc>
      </w:tr>
    </w:tbl>
    <w:p>
      <w:pPr>
        <w:pStyle w:val="TextBody"/>
        <w:bidi w:val="0"/>
        <w:spacing w:lineRule="auto" w:line="240" w:before="60" w:after="60"/>
        <w:jc w:val="center"/>
        <w:rPr>
          <w:rFonts w:ascii="Arial;sans-serif" w:hAnsi="Arial;sans-serif"/>
          <w:b/>
          <w:color w:val="000000"/>
          <w:sz w:val="32"/>
        </w:rPr>
      </w:pPr>
      <w:r>
        <w:rPr>
          <w:rFonts w:ascii="Arial;sans-serif" w:hAnsi="Arial;sans-serif"/>
          <w:b/>
          <w:color w:val="000000"/>
          <w:sz w:val="32"/>
        </w:rPr>
        <w:t>Appendix 3C</w:t>
      </w:r>
    </w:p>
    <w:p>
      <w:pPr>
        <w:pStyle w:val="TextBody"/>
        <w:bidi w:val="0"/>
        <w:spacing w:lineRule="auto" w:line="240" w:before="60" w:after="60"/>
        <w:jc w:val="center"/>
        <w:rPr>
          <w:rFonts w:ascii="Arial;sans-serif" w:hAnsi="Arial;sans-serif"/>
          <w:b/>
          <w:color w:val="000000"/>
          <w:sz w:val="32"/>
        </w:rPr>
      </w:pPr>
      <w:r>
        <w:rPr>
          <w:rFonts w:ascii="Arial;sans-serif" w:hAnsi="Arial;sans-serif"/>
          <w:b/>
          <w:color w:val="000000"/>
          <w:sz w:val="32"/>
        </w:rPr>
        <w:t>Notification of buy-back</w:t>
      </w:r>
    </w:p>
    <w:p>
      <w:pPr>
        <w:pStyle w:val="TextBody"/>
        <w:bidi w:val="0"/>
        <w:spacing w:lineRule="auto" w:line="240" w:before="60" w:after="60"/>
        <w:jc w:val="left"/>
        <w:rPr>
          <w:rFonts w:ascii="Arial;sans-serif" w:hAnsi="Arial;sans-serif"/>
          <w:b w:val="false"/>
          <w:i/>
          <w:color w:val="000000"/>
          <w:sz w:val="20"/>
        </w:rPr>
      </w:pPr>
      <w:r>
        <w:rPr>
          <w:rFonts w:ascii="Arial;sans-serif" w:hAnsi="Arial;sans-serif"/>
          <w:b w:val="false"/>
          <w:i/>
          <w:color w:val="000000"/>
          <w:sz w:val="20"/>
        </w:rPr>
        <w:t>Information or documents not available now must be given to ASX as soon as available. Information and documents given to ASX become ASX’s property and may be made public.</w:t>
      </w:r>
    </w:p>
    <w:p>
      <w:pPr>
        <w:pStyle w:val="TextBody"/>
        <w:bidi w:val="0"/>
        <w:spacing w:lineRule="auto" w:line="240" w:before="60" w:after="60"/>
        <w:jc w:val="left"/>
        <w:rPr>
          <w:rFonts w:ascii="Arial;sans-serif" w:hAnsi="Arial;sans-serif"/>
          <w:b w:val="false"/>
          <w:i/>
          <w:color w:val="000000"/>
          <w:sz w:val="20"/>
        </w:rPr>
      </w:pPr>
      <w:r>
        <w:rPr>
          <w:rFonts w:ascii="Arial;sans-serif" w:hAnsi="Arial;sans-serif"/>
          <w:b w:val="false"/>
          <w:i/>
          <w:color w:val="000000"/>
          <w:sz w:val="20"/>
        </w:rPr>
        <w:t>*Denotes minimum information required for first lodgement of this form, with exceptions provided in specific notes for certain questions. The balance of the information, where applicable, must be provided as soon as reasonably practicable by the entity.</w:t>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1 – Entity and announcement details</w:t>
      </w:r>
    </w:p>
    <w:tbl>
      <w:tblPr>
        <w:tblW w:w="10205" w:type="dxa"/>
        <w:jc w:val="left"/>
        <w:tblInd w:w="0" w:type="dxa"/>
        <w:tblLayout w:type="fixed"/>
        <w:tblCellMar>
          <w:top w:w="28" w:type="dxa"/>
          <w:left w:w="28" w:type="dxa"/>
          <w:bottom w:w="28" w:type="dxa"/>
          <w:right w:w="28" w:type="dxa"/>
        </w:tblCellMar>
      </w:tblPr>
      <w:tblGrid>
        <w:gridCol w:w="356"/>
        <w:gridCol w:w="313"/>
        <w:gridCol w:w="314"/>
        <w:gridCol w:w="2333"/>
        <w:gridCol w:w="2067"/>
        <w:gridCol w:w="2073"/>
        <w:gridCol w:w="802"/>
        <w:gridCol w:w="802"/>
        <w:gridCol w:w="1145"/>
      </w:tblGrid>
      <w:tr>
        <w:trPr/>
        <w:tc>
          <w:tcPr>
            <w:tcW w:w="35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333" w:type="dxa"/>
            <w:tcBorders/>
            <w:vAlign w:val="center"/>
          </w:tcPr>
          <w:p>
            <w:pPr>
              <w:pStyle w:val="TableContents"/>
              <w:bidi w:val="0"/>
              <w:spacing w:before="0" w:after="283"/>
              <w:jc w:val="left"/>
              <w:rPr>
                <w:sz w:val="4"/>
                <w:szCs w:val="4"/>
              </w:rPr>
            </w:pPr>
            <w:r>
              <w:rPr>
                <w:sz w:val="4"/>
                <w:szCs w:val="4"/>
              </w:rPr>
            </w:r>
          </w:p>
        </w:tc>
        <w:tc>
          <w:tcPr>
            <w:tcW w:w="2067" w:type="dxa"/>
            <w:tcBorders/>
            <w:vAlign w:val="center"/>
          </w:tcPr>
          <w:p>
            <w:pPr>
              <w:pStyle w:val="TableContents"/>
              <w:bidi w:val="0"/>
              <w:spacing w:before="0" w:after="283"/>
              <w:jc w:val="left"/>
              <w:rPr>
                <w:sz w:val="4"/>
                <w:szCs w:val="4"/>
              </w:rPr>
            </w:pPr>
            <w:r>
              <w:rPr>
                <w:sz w:val="4"/>
                <w:szCs w:val="4"/>
              </w:rPr>
            </w:r>
          </w:p>
        </w:tc>
        <w:tc>
          <w:tcPr>
            <w:tcW w:w="2073"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Question no</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Question</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Answer</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1.1</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*Name of entity</w:t>
            </w:r>
          </w:p>
          <w:p>
            <w:pPr>
              <w:pStyle w:val="TableContents"/>
              <w:bidi w:val="0"/>
              <w:spacing w:lineRule="auto" w:line="240" w:before="60" w:after="60"/>
              <w:jc w:val="left"/>
              <w:rPr>
                <w:rFonts w:ascii="Arial;sans-serif" w:hAnsi="Arial;sans-serif"/>
                <w:b w:val="false"/>
                <w:color w:val="000000"/>
                <w:sz w:val="16"/>
              </w:rPr>
            </w:pPr>
            <w:r>
              <w:rPr>
                <w:rFonts w:ascii="Arial;sans-serif" w:hAnsi="Arial;sans-serif"/>
                <w:b w:val="false"/>
                <w:color w:val="000000"/>
                <w:sz w:val="16"/>
              </w:rPr>
              <w:t>We (the entity named above) provide the following information about our buy-back</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NEWS CORPORATION</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1.2</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*Registration type and number</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Please supply your ABN, ARSN, ARBN, ACN or another registration type and number (if you supply another registration type, please specify both the type of registration and the registration number).</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ARBN 163882933</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1.3</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*ASX issuer code</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NWS</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*The announcement is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Select whichever is applicable.</w:t>
            </w:r>
          </w:p>
        </w:tc>
        <w:tc>
          <w:tcPr>
            <w:tcW w:w="27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New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Update/amendment to previous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Cancellation of previous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Daily buy-back notification</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 xml:space="preserve">Not applicable for selective buy-backs </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(complete Part 4)</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Final buy-back notification</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(complete Part 5)</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1.4b</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*Reason for update</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w:t>
            </w:r>
          </w:p>
        </w:tc>
        <w:tc>
          <w:tcPr>
            <w:tcW w:w="27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Update to 3A.1</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1.4c</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of initial notification of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 or “Cancellation of previous announcement”.</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15/07/2025</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1.4d</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of previous announcement to this update</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11/09/2026</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1.5</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of this announcement</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14/09/2026</w:t>
            </w:r>
          </w:p>
        </w:tc>
      </w:tr>
      <w:tr>
        <w:trPr/>
        <w:tc>
          <w:tcPr>
            <w:tcW w:w="983"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1.6</w:t>
            </w:r>
          </w:p>
        </w:tc>
        <w:tc>
          <w:tcPr>
            <w:tcW w:w="6473"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*Class of +securities the subject of the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only one type of buy-back for one class of security can be advised in this notification. If a buy-back extends to more than one class of security, a separate notification is required for each class.</w:t>
            </w:r>
          </w:p>
        </w:tc>
        <w:tc>
          <w:tcPr>
            <w:tcW w:w="274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ASX Security Code: NWSAB</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Security Description: COMMON STOCK CLASS B</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756285"/>
                <wp:effectExtent l="0" t="0" r="0" b="0"/>
                <wp:wrapNone/>
                <wp:docPr id="9" name="Frame8"/>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1</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p>
      <w:pPr>
        <w:pStyle w:val="TextBody"/>
        <w:bidi w:val="0"/>
        <w:spacing w:lineRule="auto" w:line="240" w:before="120" w:after="120"/>
        <w:jc w:val="left"/>
        <w:rPr>
          <w:rFonts w:ascii="Arial;sans-serif" w:hAnsi="Arial;sans-serif"/>
          <w:b w:val="false"/>
          <w:color w:val="000000"/>
          <w:sz w:val="28"/>
        </w:rPr>
      </w:pPr>
      <w:r>
        <w:rPr>
          <w:rFonts w:ascii="Arial;sans-serif" w:hAnsi="Arial;sans-serif"/>
          <w:b w:val="false"/>
          <w:color w:val="000000"/>
          <w:sz w:val="28"/>
        </w:rPr>
        <w:t xml:space="preserve">Part 2 –Type of buy-back </w:t>
      </w:r>
    </w:p>
    <w:tbl>
      <w:tblPr>
        <w:tblW w:w="10205" w:type="dxa"/>
        <w:jc w:val="left"/>
        <w:tblInd w:w="0" w:type="dxa"/>
        <w:tblLayout w:type="fixed"/>
        <w:tblCellMar>
          <w:top w:w="28" w:type="dxa"/>
          <w:left w:w="28" w:type="dxa"/>
          <w:bottom w:w="28" w:type="dxa"/>
          <w:right w:w="28" w:type="dxa"/>
        </w:tblCellMar>
      </w:tblPr>
      <w:tblGrid>
        <w:gridCol w:w="332"/>
        <w:gridCol w:w="291"/>
        <w:gridCol w:w="292"/>
        <w:gridCol w:w="1197"/>
        <w:gridCol w:w="1197"/>
        <w:gridCol w:w="1210"/>
        <w:gridCol w:w="1890"/>
        <w:gridCol w:w="1564"/>
        <w:gridCol w:w="2232"/>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890"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2232" w:type="dxa"/>
            <w:tcBorders/>
            <w:vAlign w:val="center"/>
          </w:tcPr>
          <w:p>
            <w:pPr>
              <w:pStyle w:val="TableContents"/>
              <w:bidi w:val="0"/>
              <w:spacing w:before="0" w:after="283"/>
              <w:jc w:val="left"/>
              <w:rPr>
                <w:sz w:val="4"/>
                <w:szCs w:val="4"/>
              </w:rPr>
            </w:pPr>
            <w:r>
              <w:rPr>
                <w:sz w:val="4"/>
                <w:szCs w:val="4"/>
              </w:rPr>
            </w:r>
          </w:p>
        </w:tc>
      </w:tr>
      <w:tr>
        <w:trPr/>
        <w:tc>
          <w:tcPr>
            <w:tcW w:w="9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Question No.</w:t>
            </w:r>
          </w:p>
        </w:tc>
        <w:tc>
          <w:tcPr>
            <w:tcW w:w="360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Question</w:t>
            </w:r>
          </w:p>
        </w:tc>
        <w:tc>
          <w:tcPr>
            <w:tcW w:w="568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Answer</w:t>
            </w:r>
          </w:p>
        </w:tc>
      </w:tr>
      <w:tr>
        <w:trPr/>
        <w:tc>
          <w:tcPr>
            <w:tcW w:w="9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2.1</w:t>
            </w:r>
          </w:p>
        </w:tc>
        <w:tc>
          <w:tcPr>
            <w:tcW w:w="360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Helvetica;sans-serif" w:hAnsi="Helvetica;sans-serif"/>
                <w:b w:val="false"/>
                <w:color w:val="000000"/>
                <w:sz w:val="20"/>
              </w:rPr>
            </w:pPr>
            <w:r>
              <w:rPr>
                <w:rFonts w:ascii="Helvetica;sans-serif" w:hAnsi="Helvetica;sans-serif"/>
                <w:b w:val="false"/>
                <w:color w:val="000000"/>
                <w:sz w:val="20"/>
              </w:rPr>
              <w:t>*The type of buy-back is</w:t>
            </w:r>
          </w:p>
          <w:p>
            <w:pPr>
              <w:pStyle w:val="TableContents"/>
              <w:bidi w:val="0"/>
              <w:spacing w:lineRule="auto" w:line="288" w:before="60" w:after="60"/>
              <w:jc w:val="left"/>
              <w:rPr>
                <w:rFonts w:ascii="Arial;sans-serif" w:hAnsi="Arial;sans-serif"/>
                <w:b w:val="false"/>
                <w:i/>
                <w:color w:val="000000"/>
                <w:sz w:val="16"/>
              </w:rPr>
            </w:pPr>
            <w:r>
              <w:rPr>
                <w:rFonts w:ascii="Arial;sans-serif" w:hAnsi="Arial;sans-serif"/>
                <w:b w:val="false"/>
                <w:i/>
                <w:color w:val="000000"/>
                <w:sz w:val="16"/>
              </w:rPr>
              <w:t>Note this form is not required for minimum holding buy-backs (i.e. buy-backs of unmarketable parcels). The only notification required to ASX for a minimum holding buy-back is the lodgement of an Appendix 3H within 5 business days of the completion of the minimum holding buy-back notifying ASX of the cancellation of the securities bought back in accordance with listing rule 3.8A.</w:t>
            </w:r>
          </w:p>
        </w:tc>
        <w:tc>
          <w:tcPr>
            <w:tcW w:w="568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Employee share scheme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On-market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Equal access scheme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Selective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Other buy-back</w:t>
            </w:r>
          </w:p>
          <w:p>
            <w:pPr>
              <w:pStyle w:val="TableContents"/>
              <w:bidi w:val="0"/>
              <w:spacing w:lineRule="auto" w:line="240" w:before="60" w:after="60"/>
              <w:jc w:val="left"/>
              <w:rPr>
                <w:rFonts w:ascii="Helvetica;sans-serif" w:hAnsi="Helvetica;sans-serif"/>
                <w:b w:val="false"/>
                <w:i/>
                <w:color w:val="000000"/>
                <w:sz w:val="16"/>
              </w:rPr>
            </w:pPr>
            <w:r>
              <w:rPr>
                <w:rFonts w:ascii="Helvetica;sans-serif" w:hAnsi="Helvetica;sans-serif"/>
                <w:b w:val="false"/>
                <w:i/>
                <w:color w:val="000000"/>
                <w:sz w:val="16"/>
              </w:rPr>
              <w:t>Select one item.</w:t>
            </w:r>
          </w:p>
          <w:p>
            <w:pPr>
              <w:pStyle w:val="TableContents"/>
              <w:bidi w:val="0"/>
              <w:spacing w:lineRule="auto" w:line="240" w:before="60" w:after="60"/>
              <w:jc w:val="left"/>
              <w:rPr>
                <w:rFonts w:ascii="Helvetica;sans-serif" w:hAnsi="Helvetica;sans-serif"/>
                <w:b w:val="false"/>
                <w:i/>
                <w:color w:val="000000"/>
                <w:sz w:val="16"/>
              </w:rPr>
            </w:pPr>
            <w:r>
              <w:rPr>
                <w:rFonts w:ascii="Helvetica;sans-serif" w:hAnsi="Helvetica;sans-serif"/>
                <w:b w:val="false"/>
                <w:i/>
                <w:color w:val="000000"/>
                <w:sz w:val="16"/>
              </w:rPr>
              <w:t>Note: “Other buy-back” does not include a minimum holding buy-back. The section “Other buy-back” will generally only be applicable to an entity established outside Australia.</w:t>
            </w:r>
          </w:p>
        </w:tc>
      </w:tr>
      <w:tr>
        <w:trPr/>
        <w:tc>
          <w:tcPr>
            <w:tcW w:w="91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w:t>
            </w:r>
          </w:p>
        </w:tc>
        <w:tc>
          <w:tcPr>
            <w:tcW w:w="360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Helvetica;sans-serif" w:hAnsi="Helvetica;sans-serif"/>
                <w:b w:val="false"/>
                <w:color w:val="000000"/>
                <w:sz w:val="20"/>
              </w:rPr>
            </w:pPr>
            <w:r>
              <w:rPr>
                <w:rFonts w:ascii="Helvetica;sans-serif" w:hAnsi="Helvetica;sans-serif"/>
                <w:b w:val="false"/>
                <w:color w:val="000000"/>
                <w:sz w:val="20"/>
              </w:rPr>
              <w:t>Please describe the type of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“Other buy-back”.</w:t>
            </w:r>
          </w:p>
        </w:tc>
        <w:tc>
          <w:tcPr>
            <w:tcW w:w="5686"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Repurchase program for up to an aggregate of US$1 billion of the Company’s Nasdaq-listed Class A common stock and Class B common stock authorized as of July 15, 2025 (the “2025 Repurchase Program”). Subject to market conditions and the market price of the Company’s stock, as well as other factors, the Company intends to repurchase, from time to time, in the open market or otherwise, a combination of the Company’s Class A common stock and Class B common stock. No ASX-listed CDIs will be repurchased in these programs.</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 –Buy-back details</w:t>
      </w:r>
    </w:p>
    <w:p>
      <w:pPr>
        <w:pStyle w:val="TextBody"/>
        <w:bidi w:val="0"/>
        <w:spacing w:lineRule="auto" w:line="240" w:before="120" w:after="120"/>
        <w:jc w:val="left"/>
        <w:rPr>
          <w:rFonts w:ascii="Arial;sans-serif" w:hAnsi="Arial;sans-serif"/>
          <w:b w:val="false"/>
          <w:color w:val="000000"/>
          <w:sz w:val="28"/>
        </w:rPr>
      </w:pPr>
      <w:r>
        <w:rPr>
          <w:rFonts w:ascii="Arial;sans-serif" w:hAnsi="Arial;sans-serif"/>
          <w:b w:val="false"/>
          <w:color w:val="000000"/>
          <w:sz w:val="28"/>
        </w:rPr>
        <w:t>Part 3A – Details of +securities, price and reason</w:t>
      </w:r>
    </w:p>
    <w:tbl>
      <w:tblPr>
        <w:tblW w:w="10205" w:type="dxa"/>
        <w:jc w:val="left"/>
        <w:tblInd w:w="0" w:type="dxa"/>
        <w:tblLayout w:type="fixed"/>
        <w:tblCellMar>
          <w:top w:w="28" w:type="dxa"/>
          <w:left w:w="28" w:type="dxa"/>
          <w:bottom w:w="28" w:type="dxa"/>
          <w:right w:w="28" w:type="dxa"/>
        </w:tblCellMar>
      </w:tblPr>
      <w:tblGrid>
        <w:gridCol w:w="165"/>
        <w:gridCol w:w="145"/>
        <w:gridCol w:w="146"/>
        <w:gridCol w:w="1352"/>
        <w:gridCol w:w="1352"/>
        <w:gridCol w:w="1355"/>
        <w:gridCol w:w="1664"/>
        <w:gridCol w:w="1664"/>
        <w:gridCol w:w="2362"/>
      </w:tblGrid>
      <w:tr>
        <w:trPr/>
        <w:tc>
          <w:tcPr>
            <w:tcW w:w="16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2362" w:type="dxa"/>
            <w:tcBorders/>
            <w:vAlign w:val="center"/>
          </w:tcPr>
          <w:p>
            <w:pPr>
              <w:pStyle w:val="TableContents"/>
              <w:bidi w:val="0"/>
              <w:spacing w:before="0" w:after="283"/>
              <w:jc w:val="left"/>
              <w:rPr>
                <w:sz w:val="4"/>
                <w:szCs w:val="4"/>
              </w:rPr>
            </w:pPr>
            <w:r>
              <w:rPr>
                <w:sz w:val="4"/>
                <w:szCs w:val="4"/>
              </w:rPr>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3A.1</w:t>
            </w:r>
          </w:p>
        </w:tc>
        <w:tc>
          <w:tcPr>
            <w:tcW w:w="40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number of +securities on issue in the class of +securities to be bought 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141,267,210</w:t>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3A.2</w:t>
            </w:r>
          </w:p>
        </w:tc>
        <w:tc>
          <w:tcPr>
            <w:tcW w:w="40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 xml:space="preserve">*Total number of +securities proposed to be bought back </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“Employee share scheme buy-back, “Selective buy-back” or “Other buy-back”.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Company may purchase up to an aggregate of US$1 billion of Class A common stock and Class B common stock under the 2025 Repurchase Program.</w:t>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3A.4</w:t>
            </w:r>
          </w:p>
        </w:tc>
        <w:tc>
          <w:tcPr>
            <w:tcW w:w="40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entity intend to buy back a minimum number of +securities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5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3A.5</w:t>
            </w:r>
          </w:p>
        </w:tc>
        <w:tc>
          <w:tcPr>
            <w:tcW w:w="405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entity intend to buy back a maximum number of securities?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690"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Yes</w:t>
            </w:r>
          </w:p>
        </w:tc>
      </w:tr>
    </w:tbl>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756285"/>
                <wp:effectExtent l="0" t="0" r="0" b="0"/>
                <wp:wrapNone/>
                <wp:docPr id="10" name="Frame9"/>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2</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tbl>
      <w:tblPr>
        <w:tblW w:w="10205" w:type="dxa"/>
        <w:jc w:val="left"/>
        <w:tblInd w:w="0" w:type="dxa"/>
        <w:tblLayout w:type="fixed"/>
        <w:tblCellMar>
          <w:top w:w="28" w:type="dxa"/>
          <w:left w:w="28" w:type="dxa"/>
          <w:bottom w:w="28" w:type="dxa"/>
          <w:right w:w="28" w:type="dxa"/>
        </w:tblCellMar>
      </w:tblPr>
      <w:tblGrid>
        <w:gridCol w:w="201"/>
        <w:gridCol w:w="178"/>
        <w:gridCol w:w="179"/>
        <w:gridCol w:w="1351"/>
        <w:gridCol w:w="1228"/>
        <w:gridCol w:w="1232"/>
        <w:gridCol w:w="1706"/>
        <w:gridCol w:w="1706"/>
        <w:gridCol w:w="2424"/>
      </w:tblGrid>
      <w:tr>
        <w:trPr/>
        <w:tc>
          <w:tcPr>
            <w:tcW w:w="20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2424" w:type="dxa"/>
            <w:tcBorders/>
            <w:vAlign w:val="center"/>
          </w:tcPr>
          <w:p>
            <w:pPr>
              <w:pStyle w:val="TableContents"/>
              <w:bidi w:val="0"/>
              <w:spacing w:before="0" w:after="283"/>
              <w:jc w:val="left"/>
              <w:rPr>
                <w:sz w:val="4"/>
                <w:szCs w:val="4"/>
              </w:rPr>
            </w:pPr>
            <w:r>
              <w:rPr>
                <w:sz w:val="4"/>
                <w:szCs w:val="4"/>
              </w:rPr>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3A.5a</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*Maximum number of +securities proposed to be bought 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 and your response to Q 3A.5 is “Yes”.</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Company may purchase up to an aggregate of US$1 billion of Class A common stock and Class B common stock under the 2025 Repurchase Program.</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3A.6</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pPr>
            <w:r>
              <w:rPr>
                <w:rFonts w:ascii="Arial Narrow;sans-serif" w:hAnsi="Arial Narrow;sans-serif"/>
                <w:b w:val="false"/>
                <w:color w:val="000000"/>
                <w:sz w:val="20"/>
              </w:rPr>
              <w:t>*</w:t>
            </w:r>
            <w:r>
              <w:rPr>
                <w:rFonts w:ascii="Arial;sans-serif" w:hAnsi="Arial;sans-serif"/>
                <w:b w:val="false"/>
                <w:color w:val="000000"/>
                <w:sz w:val="20"/>
              </w:rPr>
              <w:t>Name of broker or brokers who will offer to buy back +securities on the entity’s behalf</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Goldman Sachs &amp; Co. LLC</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 +securities being bought back for a cash consideration?</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if the securities are being bought back for nil cash consideration, answer this question “No”.</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Yes</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3A.9a</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*Is the price to be paid for +securities bought back known?</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3A.9 is “Yes”.</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3A.9a(i)</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*In what currency will the buy-back consideration be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3A.9 is “Yes”.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all prices below are to be expressed in this currency.</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USD – US Dollar</w:t>
            </w:r>
          </w:p>
        </w:tc>
      </w:tr>
      <w:tr>
        <w:trPr/>
        <w:tc>
          <w:tcPr>
            <w:tcW w:w="558"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3A.12</w:t>
            </w:r>
          </w:p>
        </w:tc>
        <w:tc>
          <w:tcPr>
            <w:tcW w:w="381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*Reason for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“Other buy-back”.</w:t>
            </w:r>
          </w:p>
        </w:tc>
        <w:tc>
          <w:tcPr>
            <w:tcW w:w="5836"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 enhance shareholder value</w:t>
            </w:r>
          </w:p>
        </w:tc>
      </w:tr>
    </w:tbl>
    <w:p>
      <w:pPr>
        <w:pStyle w:val="TextBody"/>
        <w:bidi w:val="0"/>
        <w:spacing w:before="60" w:after="60"/>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3B – Buy-back restrictions and conditions</w:t>
      </w:r>
    </w:p>
    <w:p>
      <w:pPr>
        <w:pStyle w:val="TextBody"/>
        <w:bidi w:val="0"/>
        <w:spacing w:before="60" w:after="60"/>
        <w:jc w:val="left"/>
        <w:rPr/>
      </w:pPr>
      <w:r>
        <w:rPr/>
      </w:r>
    </w:p>
    <w:tbl>
      <w:tblPr>
        <w:tblW w:w="10205" w:type="dxa"/>
        <w:jc w:val="left"/>
        <w:tblInd w:w="0" w:type="dxa"/>
        <w:tblLayout w:type="fixed"/>
        <w:tblCellMar>
          <w:top w:w="28" w:type="dxa"/>
          <w:left w:w="28" w:type="dxa"/>
          <w:bottom w:w="28" w:type="dxa"/>
          <w:right w:w="28" w:type="dxa"/>
        </w:tblCellMar>
      </w:tblPr>
      <w:tblGrid>
        <w:gridCol w:w="179"/>
        <w:gridCol w:w="158"/>
        <w:gridCol w:w="159"/>
        <w:gridCol w:w="3158"/>
        <w:gridCol w:w="3073"/>
        <w:gridCol w:w="3083"/>
        <w:gridCol w:w="114"/>
        <w:gridCol w:w="114"/>
        <w:gridCol w:w="167"/>
      </w:tblGrid>
      <w:tr>
        <w:trPr/>
        <w:tc>
          <w:tcPr>
            <w:tcW w:w="17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158" w:type="dxa"/>
            <w:tcBorders/>
            <w:vAlign w:val="center"/>
          </w:tcPr>
          <w:p>
            <w:pPr>
              <w:pStyle w:val="TableContents"/>
              <w:bidi w:val="0"/>
              <w:spacing w:before="0" w:after="283"/>
              <w:jc w:val="left"/>
              <w:rPr>
                <w:sz w:val="4"/>
                <w:szCs w:val="4"/>
              </w:rPr>
            </w:pPr>
            <w:r>
              <w:rPr>
                <w:sz w:val="4"/>
                <w:szCs w:val="4"/>
              </w:rPr>
            </w:r>
          </w:p>
        </w:tc>
        <w:tc>
          <w:tcPr>
            <w:tcW w:w="3073" w:type="dxa"/>
            <w:tcBorders/>
            <w:vAlign w:val="center"/>
          </w:tcPr>
          <w:p>
            <w:pPr>
              <w:pStyle w:val="TableContents"/>
              <w:bidi w:val="0"/>
              <w:spacing w:before="0" w:after="283"/>
              <w:jc w:val="left"/>
              <w:rPr>
                <w:sz w:val="4"/>
                <w:szCs w:val="4"/>
              </w:rPr>
            </w:pPr>
            <w:r>
              <w:rPr>
                <w:sz w:val="4"/>
                <w:szCs w:val="4"/>
              </w:rPr>
            </w:r>
          </w:p>
        </w:tc>
        <w:tc>
          <w:tcPr>
            <w:tcW w:w="308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9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3B.1</w:t>
            </w:r>
          </w:p>
        </w:tc>
        <w:tc>
          <w:tcPr>
            <w:tcW w:w="93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buy-back require security holder approval?</w:t>
            </w:r>
          </w:p>
          <w:p>
            <w:pPr>
              <w:pStyle w:val="TableContents"/>
              <w:bidi w:val="0"/>
              <w:spacing w:lineRule="auto" w:line="240" w:before="60" w:after="60"/>
              <w:jc w:val="left"/>
              <w:rPr>
                <w:rFonts w:ascii="Arial;sans-serif" w:hAnsi="Arial;sans-serif"/>
                <w:b w:val="false"/>
                <w:i/>
                <w:color w:val="000000"/>
                <w:sz w:val="16"/>
                <w:shd w:fill="FFFFFF" w:val="clear"/>
              </w:rPr>
            </w:pPr>
            <w:r>
              <w:rPr>
                <w:rFonts w:ascii="Arial;sans-serif" w:hAnsi="Arial;sans-serif"/>
                <w:b w:val="false"/>
                <w:i/>
                <w:color w:val="000000"/>
                <w:sz w:val="16"/>
                <w:shd w:fill="FFFFFF" w:val="clear"/>
              </w:rPr>
              <w:t>Disregard any security holder approval that has already been obtained.</w:t>
            </w:r>
          </w:p>
        </w:tc>
        <w:tc>
          <w:tcPr>
            <w:tcW w:w="39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9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3B.2</w:t>
            </w:r>
          </w:p>
        </w:tc>
        <w:tc>
          <w:tcPr>
            <w:tcW w:w="93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there any restrictions on foreign participation in the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“Equal access scheme buy-back”, “Selective buy-back” or “Other buy-back”.</w:t>
            </w:r>
          </w:p>
        </w:tc>
        <w:tc>
          <w:tcPr>
            <w:tcW w:w="39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9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3B.3</w:t>
            </w:r>
          </w:p>
        </w:tc>
        <w:tc>
          <w:tcPr>
            <w:tcW w:w="931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there any other conditions that need to be satisfied before the buy-back offer becomes unconditional</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“Employee share scheme buy-back, “Equal access scheme buy-back”, “Selective buy-back” or “Other buy-back”</w:t>
            </w:r>
          </w:p>
        </w:tc>
        <w:tc>
          <w:tcPr>
            <w:tcW w:w="395"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bl>
    <w:p>
      <w:pPr>
        <w:pStyle w:val="TextBody"/>
        <w:bidi w:val="0"/>
        <w:spacing w:before="60" w:after="60"/>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3C - Key dates</w:t>
      </w:r>
    </w:p>
    <w:tbl>
      <w:tblPr>
        <w:tblW w:w="10205" w:type="dxa"/>
        <w:jc w:val="left"/>
        <w:tblInd w:w="0" w:type="dxa"/>
        <w:tblLayout w:type="fixed"/>
        <w:tblCellMar>
          <w:top w:w="28" w:type="dxa"/>
          <w:left w:w="28" w:type="dxa"/>
          <w:bottom w:w="28" w:type="dxa"/>
          <w:right w:w="28" w:type="dxa"/>
        </w:tblCellMar>
      </w:tblPr>
      <w:tblGrid>
        <w:gridCol w:w="1198"/>
        <w:gridCol w:w="1054"/>
        <w:gridCol w:w="1054"/>
        <w:gridCol w:w="1097"/>
        <w:gridCol w:w="1075"/>
        <w:gridCol w:w="1075"/>
        <w:gridCol w:w="1059"/>
        <w:gridCol w:w="1054"/>
        <w:gridCol w:w="1539"/>
      </w:tblGrid>
      <w:tr>
        <w:trPr/>
        <w:tc>
          <w:tcPr>
            <w:tcW w:w="1198"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jc w:val="left"/>
              <w:rPr>
                <w:rFonts w:ascii="Arial;sans-serif" w:hAnsi="Arial;sans-serif"/>
                <w:b/>
                <w:color w:val="000000"/>
                <w:sz w:val="20"/>
              </w:rPr>
            </w:pPr>
            <w:r>
              <w:rPr>
                <w:rFonts w:ascii="Arial;sans-serif" w:hAnsi="Arial;sans-serif"/>
                <w:b/>
                <w:color w:val="000000"/>
                <w:sz w:val="20"/>
              </w:rPr>
              <w:t>Employee Share Scheme, Selective and Other Buy-Backs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 questions in this part if your response to Q 2.1 is “Employee share scheme buy-back”, “Selective buy-back” or “Other buy-back”</w:t>
            </w:r>
          </w:p>
        </w:tc>
      </w:tr>
      <w:tr>
        <w:trPr/>
        <w:tc>
          <w:tcPr>
            <w:tcW w:w="330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3C.1</w:t>
            </w:r>
          </w:p>
        </w:tc>
        <w:tc>
          <w:tcPr>
            <w:tcW w:w="3247"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pPr>
            <w:r>
              <w:rPr>
                <w:rFonts w:ascii="Arial;sans-serif" w:hAnsi="Arial;sans-serif"/>
                <w:b/>
                <w:color w:val="000000"/>
                <w:sz w:val="20"/>
              </w:rPr>
              <w:t>*</w:t>
            </w:r>
            <w:r>
              <w:rPr>
                <w:rFonts w:ascii="Arial;sans-serif" w:hAnsi="Arial;sans-serif"/>
                <w:b w:val="false"/>
                <w:color w:val="000000"/>
                <w:sz w:val="20"/>
              </w:rPr>
              <w:t>Anticipated date buy-back will occur</w:t>
            </w:r>
          </w:p>
        </w:tc>
        <w:tc>
          <w:tcPr>
            <w:tcW w:w="3652"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22/9/2021</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3D – Other information</w:t>
      </w:r>
    </w:p>
    <w:tbl>
      <w:tblPr>
        <w:tblW w:w="7571" w:type="dxa"/>
        <w:jc w:val="left"/>
        <w:tblInd w:w="0" w:type="dxa"/>
        <w:tblLayout w:type="fixed"/>
        <w:tblCellMar>
          <w:top w:w="28" w:type="dxa"/>
          <w:left w:w="28" w:type="dxa"/>
          <w:bottom w:w="28" w:type="dxa"/>
          <w:right w:w="28" w:type="dxa"/>
        </w:tblCellMar>
      </w:tblPr>
      <w:tblGrid>
        <w:gridCol w:w="189"/>
        <w:gridCol w:w="167"/>
        <w:gridCol w:w="168"/>
        <w:gridCol w:w="2223"/>
        <w:gridCol w:w="2223"/>
        <w:gridCol w:w="2229"/>
        <w:gridCol w:w="109"/>
        <w:gridCol w:w="109"/>
        <w:gridCol w:w="154"/>
      </w:tblGrid>
      <w:tr>
        <w:trPr/>
        <w:tc>
          <w:tcPr>
            <w:tcW w:w="18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3D.1</w:t>
            </w:r>
          </w:p>
        </w:tc>
        <w:tc>
          <w:tcPr>
            <w:tcW w:w="667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Any other information the entity wishes to notify to ASX about the buy-back</w:t>
            </w:r>
          </w:p>
        </w:tc>
        <w:tc>
          <w:tcPr>
            <w:tcW w:w="372"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120"/>
        <w:ind w:left="0" w:right="0" w:hanging="1701"/>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756285"/>
                <wp:effectExtent l="0" t="0" r="0" b="0"/>
                <wp:wrapNone/>
                <wp:docPr id="11" name="Frame10"/>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3</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 xml:space="preserve">Part 4 – Daily buy-back notification </w:t>
      </w:r>
    </w:p>
    <w:p>
      <w:pPr>
        <w:pStyle w:val="TextBody"/>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 questions in this part if your response to Q 2.1 is “Employee share scheme buy-back”, “On-market buy-back”, “Equal access share scheme buy-back” or “Other buy-back”) and you are giving a daily buy-back notification under listing rule 3.8A.</w:t>
      </w:r>
    </w:p>
    <w:p>
      <w:pPr>
        <w:pStyle w:val="TextBody"/>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 daily buy-back notification must be submitted for these types of buy-backs at least half an hour before the commencement of trading on the business day after any day on which securities are bought back (per listing rule 3.8A).</w:t>
      </w:r>
    </w:p>
    <w:tbl>
      <w:tblPr>
        <w:tblW w:w="10205" w:type="dxa"/>
        <w:jc w:val="left"/>
        <w:tblInd w:w="0" w:type="dxa"/>
        <w:tblLayout w:type="fixed"/>
        <w:tblCellMar>
          <w:top w:w="28" w:type="dxa"/>
          <w:left w:w="28" w:type="dxa"/>
          <w:bottom w:w="28" w:type="dxa"/>
          <w:right w:w="28" w:type="dxa"/>
        </w:tblCellMar>
      </w:tblPr>
      <w:tblGrid>
        <w:gridCol w:w="141"/>
        <w:gridCol w:w="124"/>
        <w:gridCol w:w="126"/>
        <w:gridCol w:w="1197"/>
        <w:gridCol w:w="687"/>
        <w:gridCol w:w="622"/>
        <w:gridCol w:w="888"/>
        <w:gridCol w:w="612"/>
        <w:gridCol w:w="354"/>
        <w:gridCol w:w="1673"/>
        <w:gridCol w:w="1673"/>
        <w:gridCol w:w="2108"/>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2108"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4.1</w:t>
            </w:r>
          </w:p>
        </w:tc>
        <w:tc>
          <w:tcPr>
            <w:tcW w:w="4360"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of this notification</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14/09/2026</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4.2</w:t>
            </w:r>
          </w:p>
        </w:tc>
        <w:tc>
          <w:tcPr>
            <w:tcW w:w="4360" w:type="dxa"/>
            <w:gridSpan w:val="6"/>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*Previous day on which +securities were bought back</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11/09/2026</w:t>
            </w:r>
          </w:p>
        </w:tc>
      </w:tr>
      <w:tr>
        <w:trPr/>
        <w:tc>
          <w:tcPr>
            <w:tcW w:w="39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50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Before previous day</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On previous day</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4.3</w:t>
            </w:r>
          </w:p>
        </w:tc>
        <w:tc>
          <w:tcPr>
            <w:tcW w:w="25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number of +securities bought back, or in relation to which acceptances have been received</w:t>
            </w:r>
          </w:p>
        </w:tc>
        <w:tc>
          <w:tcPr>
            <w:tcW w:w="1854" w:type="dxa"/>
            <w:gridSpan w:val="3"/>
            <w:tcBorders>
              <w:top w:val="single" w:sz="4" w:space="0" w:color="000000"/>
              <w:left w:val="single" w:sz="4" w:space="0" w:color="000000"/>
            </w:tcBorders>
            <w:tcMar>
              <w:top w:w="30" w:type="dxa"/>
              <w:left w:w="11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5,524,474</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25,457</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4.4</w:t>
            </w:r>
          </w:p>
        </w:tc>
        <w:tc>
          <w:tcPr>
            <w:tcW w:w="25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consideration paid or payable for the +securities</w:t>
            </w:r>
          </w:p>
        </w:tc>
        <w:tc>
          <w:tcPr>
            <w:tcW w:w="1854" w:type="dxa"/>
            <w:gridSpan w:val="3"/>
            <w:tcBorders>
              <w:top w:val="single" w:sz="4" w:space="0" w:color="000000"/>
              <w:left w:val="single" w:sz="4" w:space="0" w:color="000000"/>
            </w:tcBorders>
            <w:tcMar>
              <w:top w:w="30" w:type="dxa"/>
              <w:left w:w="11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US$162,895,036.21 </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US$833,704.02 </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4.5</w:t>
            </w:r>
          </w:p>
        </w:tc>
        <w:tc>
          <w:tcPr>
            <w:tcW w:w="25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*Highest price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these questions if your response to Q 2.1 is “On-market buy-back”.</w:t>
            </w:r>
          </w:p>
        </w:tc>
        <w:tc>
          <w:tcPr>
            <w:tcW w:w="18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US$35.69</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highest price was paid: 27/08/2026</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US$33.05</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4.6</w:t>
            </w:r>
          </w:p>
        </w:tc>
        <w:tc>
          <w:tcPr>
            <w:tcW w:w="250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*Lowest price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these questions if your response to Q 2.1 is “On-market buy-back”.</w:t>
            </w:r>
          </w:p>
        </w:tc>
        <w:tc>
          <w:tcPr>
            <w:tcW w:w="185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US$25.49</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lowest price was paid: 13/02/2026</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US$32.545</w:t>
            </w:r>
          </w:p>
        </w:tc>
      </w:tr>
      <w:tr>
        <w:trPr/>
        <w:tc>
          <w:tcPr>
            <w:tcW w:w="391"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4.8</w:t>
            </w:r>
          </w:p>
        </w:tc>
        <w:tc>
          <w:tcPr>
            <w:tcW w:w="4360" w:type="dxa"/>
            <w:gridSpan w:val="6"/>
            <w:tcBorders>
              <w:left w:val="single" w:sz="4" w:space="0" w:color="000000"/>
              <w:bottom w:val="single" w:sz="4" w:space="0" w:color="000000"/>
            </w:tcBorders>
            <w:tcMar>
              <w:top w:w="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*If the entity has disclosed an intention to buy back a maximum number of +securities, the remaining number of +securities to be bought back as at the end of the previous day</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ASX has calculated this number for you based on previous notifications. If it is not correct, please amend it to the correct number and consider whether any updates need to be made to previous notifications.</w:t>
            </w:r>
          </w:p>
        </w:tc>
        <w:tc>
          <w:tcPr>
            <w:tcW w:w="545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The company is authorized to acquire up to an aggregate of US$1 billion of the Company’s Nasdaq-listed Class A common stock and Class B common stock under the 2025 Repurchase Program. To date, the company has purchased approximately US$473,565,291 worth of Class A and Class B shares (based on total consideration paid) under the 2025 Repurchase Program.</w:t>
            </w:r>
          </w:p>
        </w:tc>
      </w:tr>
    </w:tbl>
    <w:p>
      <w:pPr>
        <w:pStyle w:val="TextBody"/>
        <w:bidi w:val="0"/>
        <w:spacing w:before="60" w:after="60"/>
        <w:jc w:val="left"/>
        <w:rPr/>
      </w:pPr>
      <w:r>
        <w:rPr/>
      </w:r>
    </w:p>
    <w:p>
      <w:pPr>
        <w:pStyle w:val="TextBody"/>
        <w:bidi w:val="0"/>
        <w:spacing w:lineRule="auto" w:line="240" w:before="60" w:after="60"/>
        <w:jc w:val="left"/>
        <w:rPr>
          <w:rFonts w:ascii="Arial;sans-serif" w:hAnsi="Arial;sans-serif"/>
          <w:b w:val="false"/>
          <w:color w:val="000000"/>
          <w:sz w:val="16"/>
        </w:rPr>
      </w:pPr>
      <w:r>
        <w:rPr>
          <w:rFonts w:ascii="Arial;sans-serif" w:hAnsi="Arial;sans-serif"/>
          <w:b w:val="false"/>
          <w:color w:val="000000"/>
          <w:sz w:val="16"/>
        </w:rPr>
        <w:t>Introduced 05/06/21</w:t>
      </w:r>
    </w:p>
    <w:p>
      <w:pPr>
        <w:pStyle w:val="TextBody"/>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756285"/>
                <wp:effectExtent l="0" t="0" r="0" b="0"/>
                <wp:wrapNone/>
                <wp:docPr id="12" name="Frame11"/>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4</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Arial Narrow">
    <w:altName w:val="sans-serif"/>
    <w:charset w:val="01"/>
    <w:family w:val="auto"/>
    <w:pitch w:val="default"/>
  </w:font>
  <w:font w:name="Helvetica">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3531</Words>
  <Characters>18659</Characters>
  <CharactersWithSpaces>21907</CharactersWithSpaces>
  <Paragraphs>434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