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3529.xml.htm"/>
      <w:bookmarkStart w:id="1" w:name="kswkform4_17870835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Chandrashekar Lavanya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15,607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12,164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20,954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17,785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17,785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28.665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50"/>
        <w:gridCol w:w="861"/>
        <w:gridCol w:w="891"/>
        <w:gridCol w:w="771"/>
        <w:gridCol w:w="591"/>
        <w:gridCol w:w="300"/>
        <w:gridCol w:w="771"/>
        <w:gridCol w:w="66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9,548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9,551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8,790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27,777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27,777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dividend equivalents accrued during the vesting period that are subject to the same time-based vesting conditions as the underlying stock-settled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stock-settled restricted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upon vesting of the applicable incentive award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stock-settled restricted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stock-settled restricted stock units were granted as part of the Reporting Person's fiscal 2027 long-term equity incentive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stock-settled restricted stock units will vest in thirds on August 15, 2027, 2028 and 2029, subject to time-based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C. Mertz as Attorney-in-Fact for Lavanya Chandrashekar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8376" TargetMode="External"/><Relationship Id="rId5" Type="http://schemas.openxmlformats.org/officeDocument/2006/relationships/hyperlink" Target="http://www.sec.gov/cgi-bin/browse-edgar?action=getcompany&amp;CIK=00015647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799</Words>
  <Characters>4354</Characters>
  <CharactersWithSpaces>5011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