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285.xml.htm"/>
      <w:bookmarkStart w:id="1" w:name="kswkform4_17909712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BANCROFT NATALIE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NEWS CORP</w:t>
              </w:r>
            </w:hyperlink>
            <w:r>
              <w:rPr/>
              <w:t xml:space="preserve"> [ </w:t>
            </w:r>
            <w:r>
              <w:rPr>
                <w:rFonts w:ascii="Times;serif" w:hAnsi="Times;serif"/>
                <w:color w:val="0000FF"/>
                <w:sz w:val="24"/>
                <w:shd w:fill="FFFFFF" w:val="clear"/>
              </w:rPr>
              <w:t>NWS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39,270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1,702</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28.64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40,972</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stock units were deemed to have settled for the cash value of an equivalent number of shares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the equivalent of one share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deferred stock units became payable in cash on October 1, 2026, the first trading day of the quarter five years following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deferred stock units become payable in cash on the earlier of (i) the first trading day of the quarter five years following the grant and (ii) the Reporting Person's end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 Mertz as Attorney-in-Fact for Natalie Bancroft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0489" TargetMode="External"/><Relationship Id="rId5" Type="http://schemas.openxmlformats.org/officeDocument/2006/relationships/hyperlink" Target="http://www.sec.gov/cgi-bin/browse-edgar?action=getcompany&amp;CIK=0001564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4180</Characters>
  <CharactersWithSpaces>4875</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