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88265</wp:posOffset>
            </wp:positionV>
            <wp:extent cx="339471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NEWS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350"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ind w:left="10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001-35769</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46-2950970</w:t>
      </w:r>
    </w:p>
    <w:p>
      <w:pPr>
        <w:spacing w:after="0" w:line="1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80" w:space="720"/>
            <w:col w:w="2640"/>
          </w:cols>
          <w:pgMar w:left="320" w:top="1024" w:right="339" w:bottom="1440" w:gutter="0" w:footer="0" w:header="0"/>
          <w:type w:val="continuous"/>
        </w:sectPr>
      </w:pPr>
    </w:p>
    <w:p>
      <w:pPr>
        <w:spacing w:after="0" w:line="6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1211 Avenue of the Americas, New York, New York 10036</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416-3400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4"/>
        </w:trPr>
        <w:tc>
          <w:tcPr>
            <w:tcW w:w="3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 Stock, par value $0.01 per</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NWSA</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40" w:type="dxa"/>
            <w:vAlign w:val="bottom"/>
            <w:gridSpan w:val="3"/>
            <w:vMerge w:val="continue"/>
          </w:tcPr>
          <w:p>
            <w:pPr>
              <w:spacing w:after="0"/>
              <w:rPr>
                <w:sz w:val="7"/>
                <w:szCs w:val="7"/>
                <w:color w:val="auto"/>
              </w:rPr>
            </w:pPr>
          </w:p>
        </w:tc>
        <w:tc>
          <w:tcPr>
            <w:tcW w:w="2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40" w:type="dxa"/>
            <w:vAlign w:val="bottom"/>
            <w:gridSpan w:val="3"/>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9"/>
              </w:rPr>
              <w:t>Class B Common Stock, par value $0.01 per</w:t>
            </w: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NWS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540" w:type="dxa"/>
            <w:vAlign w:val="bottom"/>
            <w:gridSpan w:val="3"/>
            <w:vMerge w:val="continue"/>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Attached as Exhibit 99.1 and Exhibit 99.2 are copies of the information provided to the ASX on the respective dates noted therein. Such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contains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within the meaning of the Private Securities Litigation Reform Act of 1995. These forward-looking statements</w:t>
      </w:r>
    </w:p>
    <w:p>
      <w:pPr>
        <w:spacing w:after="0" w:line="234" w:lineRule="auto"/>
        <w:rPr>
          <w:sz w:val="20"/>
          <w:szCs w:val="20"/>
          <w:color w:val="auto"/>
        </w:rPr>
      </w:pPr>
      <w:r>
        <w:rPr>
          <w:rFonts w:ascii="Times New Roman" w:cs="Times New Roman" w:eastAsia="Times New Roman" w:hAnsi="Times New Roman"/>
          <w:sz w:val="18"/>
          <w:szCs w:val="18"/>
          <w:color w:val="231F20"/>
        </w:rPr>
        <w:t>include, but are not limited to, statements regarding the Company's intent to repurchase, from time to time, the Company's Class A common stock and</w:t>
      </w:r>
    </w:p>
    <w:p>
      <w:pPr>
        <w:spacing w:after="0" w:line="235" w:lineRule="auto"/>
        <w:rPr>
          <w:sz w:val="20"/>
          <w:szCs w:val="20"/>
          <w:color w:val="auto"/>
        </w:rPr>
      </w:pPr>
      <w:r>
        <w:rPr>
          <w:rFonts w:ascii="Times New Roman" w:cs="Times New Roman" w:eastAsia="Times New Roman" w:hAnsi="Times New Roman"/>
          <w:sz w:val="18"/>
          <w:szCs w:val="18"/>
          <w:color w:val="231F20"/>
        </w:rPr>
        <w:t>Class B common stock. These statements are based on management's current expectations and beliefs and are subject to uncertainty and changes in</w:t>
      </w:r>
    </w:p>
    <w:p>
      <w:pPr>
        <w:spacing w:after="0" w:line="235" w:lineRule="auto"/>
        <w:rPr>
          <w:sz w:val="20"/>
          <w:szCs w:val="20"/>
          <w:color w:val="auto"/>
        </w:rPr>
      </w:pPr>
      <w:r>
        <w:rPr>
          <w:rFonts w:ascii="Times New Roman" w:cs="Times New Roman" w:eastAsia="Times New Roman" w:hAnsi="Times New Roman"/>
          <w:sz w:val="18"/>
          <w:szCs w:val="18"/>
          <w:color w:val="231F20"/>
        </w:rPr>
        <w:t>circumstances. Actual results may vary materially from those expressed or implied by such statements due to, among other factors, changes in the market</w:t>
      </w:r>
    </w:p>
    <w:p>
      <w:pPr>
        <w:spacing w:after="0" w:line="235" w:lineRule="auto"/>
        <w:rPr>
          <w:sz w:val="20"/>
          <w:szCs w:val="20"/>
          <w:color w:val="auto"/>
        </w:rPr>
      </w:pPr>
      <w:r>
        <w:rPr>
          <w:rFonts w:ascii="Times New Roman" w:cs="Times New Roman" w:eastAsia="Times New Roman" w:hAnsi="Times New Roman"/>
          <w:sz w:val="18"/>
          <w:szCs w:val="18"/>
          <w:color w:val="231F20"/>
        </w:rPr>
        <w:t>price of the Company's stock, general market conditions, applicable securities laws and alternative investment opportunities, as well as the risks,</w:t>
      </w:r>
    </w:p>
    <w:p>
      <w:pPr>
        <w:spacing w:after="0" w:line="219" w:lineRule="auto"/>
        <w:rPr>
          <w:sz w:val="20"/>
          <w:szCs w:val="20"/>
          <w:color w:val="auto"/>
        </w:rPr>
      </w:pPr>
      <w:r>
        <w:rPr>
          <w:rFonts w:ascii="Times New Roman" w:cs="Times New Roman" w:eastAsia="Times New Roman" w:hAnsi="Times New Roman"/>
          <w:sz w:val="18"/>
          <w:szCs w:val="18"/>
          <w:color w:val="231F20"/>
        </w:rPr>
        <w:t xml:space="preserve">uncertainties and other factors described in the Company's filings with the Securities and Exchange Commission.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p>
    <w:p>
      <w:pPr>
        <w:spacing w:after="0" w:line="235" w:lineRule="auto"/>
        <w:rPr>
          <w:sz w:val="20"/>
          <w:szCs w:val="20"/>
          <w:color w:val="auto"/>
        </w:rPr>
      </w:pPr>
      <w:r>
        <w:rPr>
          <w:rFonts w:ascii="Times New Roman" w:cs="Times New Roman" w:eastAsia="Times New Roman" w:hAnsi="Times New Roman"/>
          <w:sz w:val="18"/>
          <w:szCs w:val="18"/>
          <w:color w:val="231F20"/>
        </w:rPr>
        <w:t>included in such information are made only as of the date of this report. We do not have and do not undertake any obligation to publicly update any</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reflect subsequent events or circumstances, and we expressly disclaim any such obligation, except as required by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regulation.</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9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Information provided to the Australian Securities Exchange on the date noted on Exhibit 99.1.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provided to the Australian Securities Exchange on the date noted on Exhibit 99.2.</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6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62" w:lineRule="exact"/>
        <w:rPr>
          <w:sz w:val="20"/>
          <w:szCs w:val="20"/>
          <w:color w:val="auto"/>
        </w:rPr>
      </w:pPr>
    </w:p>
    <w:p>
      <w:pPr>
        <w:ind w:left="63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26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L. Bunder</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Deputy General Counsel and</w:t>
      </w: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30, 2026</w:t>
      </w:r>
    </w:p>
    <w:p>
      <w:pPr>
        <w:sectPr>
          <w:pgSz w:w="11900" w:h="16838" w:orient="portrait"/>
          <w:cols w:equalWidth="0" w:num="1">
            <w:col w:w="10940"/>
          </w:cols>
          <w:pgMar w:left="320" w:top="887" w:right="6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30/06/2026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NWSAA</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A</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361,464,129</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2"/>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30/06/2026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29/06/2026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8,597,371</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76,679</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US$215,890,346.19</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US$1,950,230.68</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US$27.60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US$25.90</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10/06/2026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US$22.20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US$25.14</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09/02/2026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US$335,986,781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ectPr>
          <w:pgSz w:w="11900" w:h="16838" w:orient="portrait"/>
          <w:cols w:equalWidth="0" w:num="1">
            <w:col w:w="11260"/>
          </w:cols>
          <w:pgMar w:left="320" w:top="283"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30/06/2026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NWSAB</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142,275,197</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30/06/2026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29/06/2026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4,095,911</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38,321</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US$117,042,532.22</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US$1,103,671.62</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US$31.60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US$29.24</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11/05/2026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US$25.49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US$28.46</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US$335,986,781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60"/>
      </w:cols>
      <w:pgMar w:left="32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2026-06-30T05:16:11Z</dcterms:created>
  <dcterms:modified xsi:type="dcterms:W3CDTF">2026-06-30T05:16:11Z</dcterms:modified>
</cp:coreProperties>
</file>