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247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4764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BANCROFT NATALIE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NEWS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NWS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NEWS CORPORATION</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1211 AVENUE OF THE AMERICAS</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07/01/2026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1,747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1,747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07/01/2026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1,747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1,747</w:t>
            </w:r>
          </w:p>
        </w:tc>
        <w:tc>
          <w:tcPr>
            <w:tcW w:w="60" w:type="dxa"/>
            <w:vAlign w:val="bottom"/>
          </w:tcPr>
          <w:p>
            <w:pPr>
              <w:spacing w:after="0"/>
              <w:rPr>
                <w:sz w:val="15"/>
                <w:szCs w:val="15"/>
                <w:color w:val="auto"/>
              </w:rPr>
            </w:pPr>
          </w:p>
        </w:tc>
        <w:tc>
          <w:tcPr>
            <w:tcW w:w="70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39,296</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1,747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41,187</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1,891</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25.78</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were deemed to have settled for the cash value of an equivalent number of shares of News Corporation's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the equivalent of one share of News Corporation's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became payable in cash on July 1, 2026, the first trading day of the quarter five years following the grant.</w:t>
      </w:r>
    </w:p>
    <w:p>
      <w:pPr>
        <w:spacing w:after="0" w:line="43" w:lineRule="exact"/>
        <w:rPr>
          <w:rFonts w:ascii="Times New Roman" w:cs="Times New Roman" w:eastAsia="Times New Roman" w:hAnsi="Times New Roman"/>
          <w:sz w:val="13"/>
          <w:szCs w:val="13"/>
          <w:color w:val="008000"/>
        </w:rPr>
      </w:pPr>
    </w:p>
    <w:p>
      <w:pPr>
        <w:jc w:val="both"/>
        <w:ind w:left="40" w:right="36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become payable in cash on the earlier of (i) the first trading day of the quarter five years following the grant and (ii) the Reporting Person's end of service as a Director.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Kenneth C. Mertz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Natalie</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7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084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0489" TargetMode="External"/><Relationship Id="rId14" Type="http://schemas.openxmlformats.org/officeDocument/2006/relationships/hyperlink" Target="http://www.sec.gov/cgi-bin/browse-edgar?action=getcompany&amp;CIK=0001564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2026-07-02T15:19:31Z</dcterms:created>
  <dcterms:modified xsi:type="dcterms:W3CDTF">2026-07-02T15:19:31Z</dcterms:modified>
</cp:coreProperties>
</file>