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3548.xml.htm"/>
      <w:bookmarkStart w:id="1" w:name="kswkform4_17870835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DeGrazio Marygrace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40,881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38,647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43,413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41,601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46,088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44,308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18,303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28.76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9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50"/>
        <w:gridCol w:w="861"/>
        <w:gridCol w:w="891"/>
        <w:gridCol w:w="771"/>
        <w:gridCol w:w="591"/>
        <w:gridCol w:w="300"/>
        <w:gridCol w:w="771"/>
        <w:gridCol w:w="66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9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8,980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14,193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14,193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dividend equivalents accrued during the vesting period that are subject to the same time-based vesting conditions as the underlying stock-settled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stock-settled restricted stock units were deemed to have settled for an equivalent number of shares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upon vesting of the applicable incentive award to satisfy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stock-settled restricted stock unit is the economic equivalent of one share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stock-settled restricted stock units were granted as part of the Reporting Person's fiscal 2027 long-term equity incentive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stock-settled restricted stock units will vest in thirds on August 15, 2027, 2028 and 2029, subject to time-based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C. Mertz as Attorney-in-Fact for Marygrace DeGrazio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8113" TargetMode="External"/><Relationship Id="rId5" Type="http://schemas.openxmlformats.org/officeDocument/2006/relationships/hyperlink" Target="http://www.sec.gov/cgi-bin/browse-edgar?action=getcompany&amp;CIK=00015647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839</Words>
  <Characters>4551</Characters>
  <CharactersWithSpaces>5220</CharactersWithSpaces>
  <Paragraphs>198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