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November 2, 2026</w:t>
      </w:r>
    </w:p>
    <w:p>
      <w:pPr>
        <w:pStyle w:val="TextBody"/>
        <w:bidi w:val="0"/>
        <w:spacing w:before="120" w:after="283"/>
        <w:jc w:val="center"/>
      </w:pPr>
      <w: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left"/>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pPr>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p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p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ppendix3cclassa20261102.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pPr>
            <w:hyperlink w:anchor="appendix3cclassb20261102.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p>
      <w:pPr>
        <w:pStyle w:val="TextBody"/>
        <w:bidi w:val="0"/>
        <w:spacing w:before="0" w:after="0"/>
        <w:jc w:val="left"/>
      </w:p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November 3, 2026</w:t>
      </w:r>
    </w:p>
    <w:p>
      <w:pPr>
        <w:pStyle w:val="TextBody"/>
        <w:bidi w:val="0"/>
        <w:spacing w:before="0" w:after="283"/>
        <w:jc w:val="left"/>
      </w:pPr>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p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p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03/11/2026</w:t>
            </w:r>
          </w:p>
        </w:tc>
      </w:tr>
      <w:t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357,709,203</w:t>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p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p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03/11/2026</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02/11/2026</w:t>
            </w:r>
          </w:p>
        </w:tc>
      </w:tr>
      <w:t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13,950,249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US$370,138,658.42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US$1,738,541.20 </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US$29.915</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US$29.46</w:t>
            </w:r>
          </w:p>
        </w:tc>
      </w:tr>
      <w:t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US$565,439,577 worth of Class A and Class B shares (based on total consideration paid) under the 2025 Repurchase Program.</w:t>
            </w:r>
          </w:p>
        </w:tc>
      </w:tr>
    </w:tbl>
    <w:p>
      <w:pPr>
        <w:pStyle w:val="TextBody"/>
        <w:bidi w:val="0"/>
        <w:spacing w:before="60" w:after="60"/>
        <w:jc w:val="left"/>
      </w:p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p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03/11/2026</w:t>
            </w:r>
          </w:p>
        </w:tc>
      </w:tr>
      <w:t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143,211,027</w:t>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p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p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p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03/11/2026</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02/11/2026</w:t>
            </w:r>
          </w:p>
        </w:tc>
      </w:tr>
      <w:t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6,443,687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US$192,737,344.23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US$825,033.37 </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US$32.66</w:t>
            </w:r>
          </w:p>
        </w:tc>
      </w:tr>
      <w:t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US$32.09</w:t>
            </w:r>
          </w:p>
        </w:tc>
      </w:tr>
      <w:t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US$565,439,577 worth of Class A and Class B shares (based on total consideration paid) under the 2025 Repurchase Program.</w:t>
            </w:r>
          </w:p>
        </w:tc>
      </w:tr>
    </w:tbl>
    <w:p>
      <w:pPr>
        <w:pStyle w:val="TextBody"/>
        <w:bidi w:val="0"/>
        <w:spacing w:before="60" w:after="60"/>
        <w:jc w:val="left"/>
      </w:p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18591</Characters>
  <CharactersWithSpaces>21835</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