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0"/>
        <w:jc w:val="center"/>
        <w:rPr>
          <w:rFonts w:ascii="Times New Roman;serif" w:hAnsi="Times New Roman;serif"/>
          <w:b/>
          <w:color w:val="000000"/>
          <w:sz w:val="22"/>
        </w:rPr>
      </w:pPr>
      <w:r>
        <w:rPr>
          <w:rFonts w:ascii="Times New Roman;serif" w:hAnsi="Times New Roman;serif"/>
          <w:b/>
          <w:color w:val="000000"/>
          <w:sz w:val="22"/>
        </w:rPr>
        <w:t>Washington, D.C. 20549</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pPr>
      <w:r>
        <w:rPr>
          <w:rFonts w:ascii="Times New Roman;serif" w:hAnsi="Times New Roman;serif"/>
          <w:b/>
          <w:color w:val="000000"/>
          <w:sz w:val="36"/>
        </w:rPr>
        <w:t>FORM 8-K</w:t>
      </w:r>
      <w:r>
        <w:rPr>
          <w:color w:val="000000"/>
        </w:rPr>
        <w:t xml:space="preserve"> </w:t>
      </w:r>
    </w:p>
    <w:p>
      <w:pPr>
        <w:pStyle w:val="TextBody"/>
        <w:bidi w:val="0"/>
        <w:spacing w:lineRule="auto" w:line="288" w:before="120" w:after="283"/>
        <w:jc w:val="center"/>
        <w:rPr>
          <w:rFonts w:ascii="Times New Roman;serif" w:hAnsi="Times New Roman;serif"/>
          <w:b/>
          <w:color w:val="000000"/>
          <w:sz w:val="22"/>
        </w:rPr>
      </w:pPr>
      <w:r>
        <w:rPr>
          <w:rFonts w:ascii="Times New Roman;serif" w:hAnsi="Times New Roman;serif"/>
          <w:b/>
          <w:color w:val="000000"/>
          <w:sz w:val="22"/>
        </w:rPr>
        <w:t>CURRENT REPORT</w:t>
      </w:r>
    </w:p>
    <w:p>
      <w:pPr>
        <w:pStyle w:val="TextBody"/>
        <w:bidi w:val="0"/>
        <w:spacing w:lineRule="auto" w:line="288" w:before="60" w:after="283"/>
        <w:jc w:val="center"/>
        <w:rPr>
          <w:rFonts w:ascii="Times New Roman;serif" w:hAnsi="Times New Roman;serif"/>
          <w:b/>
          <w:color w:val="000000"/>
          <w:sz w:val="20"/>
        </w:rPr>
      </w:pPr>
      <w:r>
        <w:rPr>
          <w:rFonts w:ascii="Times New Roman;serif" w:hAnsi="Times New Roman;serif"/>
          <w:b/>
          <w:color w:val="000000"/>
          <w:sz w:val="20"/>
        </w:rPr>
        <w:t>Pursuant to Section 13 or 15(d) of The Securities Exchange Act of 1934</w:t>
      </w:r>
    </w:p>
    <w:p>
      <w:pPr>
        <w:pStyle w:val="TextBody"/>
        <w:bidi w:val="0"/>
        <w:spacing w:lineRule="auto" w:line="288" w:before="120" w:after="283"/>
        <w:jc w:val="center"/>
        <w:rPr>
          <w:rFonts w:ascii="Times New Roman;serif" w:hAnsi="Times New Roman;serif"/>
          <w:b/>
          <w:color w:val="000000"/>
          <w:sz w:val="20"/>
        </w:rPr>
      </w:pPr>
      <w:r>
        <w:rPr>
          <w:rFonts w:ascii="Times New Roman;serif" w:hAnsi="Times New Roman;serif"/>
          <w:b/>
          <w:color w:val="000000"/>
          <w:sz w:val="20"/>
        </w:rPr>
        <w:t>Date of Report (Date of earliest event reported): October 9, 2026</w:t>
      </w:r>
    </w:p>
    <w:p>
      <w:pPr>
        <w:pStyle w:val="TextBody"/>
        <w:bidi w:val="0"/>
        <w:spacing w:before="120" w:after="283"/>
        <w:jc w:val="center"/>
        <w:rPr/>
      </w:pPr>
      <w:r>
        <w:rPr/>
        <w:drawing>
          <wp:inline distT="0" distB="0" distL="0" distR="0">
            <wp:extent cx="3771900" cy="134302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771900" cy="1343025"/>
                    </a:xfrm>
                    <a:prstGeom prst="rect">
                      <a:avLst/>
                    </a:prstGeom>
                  </pic:spPr>
                </pic:pic>
              </a:graphicData>
            </a:graphic>
          </wp:inline>
        </w:drawing>
      </w:r>
      <w:bookmarkStart w:id="0" w:name="i-1"/>
      <w:bookmarkEnd w:id="0"/>
    </w:p>
    <w:p>
      <w:pPr>
        <w:pStyle w:val="TextBody"/>
        <w:bidi w:val="0"/>
        <w:spacing w:lineRule="auto" w:line="288" w:before="0" w:after="0"/>
        <w:jc w:val="center"/>
        <w:rPr>
          <w:rFonts w:ascii="Times New Roman;serif" w:hAnsi="Times New Roman;serif"/>
          <w:b/>
          <w:color w:val="000000"/>
          <w:sz w:val="48"/>
        </w:rPr>
      </w:pPr>
      <w:r>
        <w:rPr>
          <w:rFonts w:ascii="Times New Roman;serif" w:hAnsi="Times New Roman;serif"/>
          <w:b/>
          <w:color w:val="000000"/>
          <w:sz w:val="48"/>
        </w:rPr>
        <w:t>NEWS CORPORATION</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 </w:t>
      </w:r>
    </w:p>
    <w:tbl>
      <w:tblPr>
        <w:tblW w:w="5961" w:type="dxa"/>
        <w:jc w:val="left"/>
        <w:tblInd w:w="0" w:type="dxa"/>
        <w:tblLayout w:type="fixed"/>
        <w:tblCellMar>
          <w:top w:w="28" w:type="dxa"/>
          <w:left w:w="28" w:type="dxa"/>
          <w:bottom w:w="28" w:type="dxa"/>
          <w:right w:w="28" w:type="dxa"/>
        </w:tblCellMar>
      </w:tblPr>
      <w:tblGrid>
        <w:gridCol w:w="851"/>
        <w:gridCol w:w="748"/>
        <w:gridCol w:w="755"/>
        <w:gridCol w:w="109"/>
        <w:gridCol w:w="109"/>
        <w:gridCol w:w="109"/>
        <w:gridCol w:w="423"/>
        <w:gridCol w:w="423"/>
        <w:gridCol w:w="428"/>
        <w:gridCol w:w="109"/>
        <w:gridCol w:w="109"/>
        <w:gridCol w:w="109"/>
        <w:gridCol w:w="490"/>
        <w:gridCol w:w="490"/>
        <w:gridCol w:w="699"/>
      </w:tblGrid>
      <w:tr>
        <w:trPr/>
        <w:tc>
          <w:tcPr>
            <w:tcW w:w="851" w:type="dxa"/>
            <w:tcBorders/>
            <w:vAlign w:val="center"/>
          </w:tcPr>
          <w:p>
            <w:pPr>
              <w:pStyle w:val="TableContents"/>
              <w:bidi w:val="0"/>
              <w:spacing w:before="0" w:after="283"/>
              <w:jc w:val="left"/>
              <w:rPr>
                <w:sz w:val="4"/>
                <w:szCs w:val="4"/>
              </w:rPr>
            </w:pPr>
            <w:r>
              <w:rPr>
                <w:sz w:val="4"/>
                <w:szCs w:val="4"/>
              </w:rPr>
            </w:r>
          </w:p>
        </w:tc>
        <w:tc>
          <w:tcPr>
            <w:tcW w:w="748" w:type="dxa"/>
            <w:tcBorders/>
            <w:vAlign w:val="center"/>
          </w:tcPr>
          <w:p>
            <w:pPr>
              <w:pStyle w:val="TableContents"/>
              <w:bidi w:val="0"/>
              <w:spacing w:before="0" w:after="283"/>
              <w:jc w:val="left"/>
              <w:rPr>
                <w:sz w:val="4"/>
                <w:szCs w:val="4"/>
              </w:rPr>
            </w:pPr>
            <w:r>
              <w:rPr>
                <w:sz w:val="4"/>
                <w:szCs w:val="4"/>
              </w:rPr>
            </w:r>
          </w:p>
        </w:tc>
        <w:tc>
          <w:tcPr>
            <w:tcW w:w="7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3" w:type="dxa"/>
            <w:tcBorders/>
            <w:vAlign w:val="center"/>
          </w:tcPr>
          <w:p>
            <w:pPr>
              <w:pStyle w:val="TableContents"/>
              <w:bidi w:val="0"/>
              <w:spacing w:before="0" w:after="283"/>
              <w:jc w:val="left"/>
              <w:rPr>
                <w:sz w:val="4"/>
                <w:szCs w:val="4"/>
              </w:rPr>
            </w:pPr>
            <w:r>
              <w:rPr>
                <w:sz w:val="4"/>
                <w:szCs w:val="4"/>
              </w:rPr>
            </w:r>
          </w:p>
        </w:tc>
        <w:tc>
          <w:tcPr>
            <w:tcW w:w="42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490" w:type="dxa"/>
            <w:tcBorders/>
            <w:vAlign w:val="center"/>
          </w:tcPr>
          <w:p>
            <w:pPr>
              <w:pStyle w:val="TableContents"/>
              <w:bidi w:val="0"/>
              <w:spacing w:before="0" w:after="283"/>
              <w:jc w:val="left"/>
              <w:rPr>
                <w:sz w:val="4"/>
                <w:szCs w:val="4"/>
              </w:rPr>
            </w:pPr>
            <w:r>
              <w:rPr>
                <w:sz w:val="4"/>
                <w:szCs w:val="4"/>
              </w:rPr>
            </w:r>
          </w:p>
        </w:tc>
        <w:tc>
          <w:tcPr>
            <w:tcW w:w="699" w:type="dxa"/>
            <w:tcBorders/>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001-35769</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46-2950970</w:t>
            </w:r>
          </w:p>
        </w:tc>
      </w:tr>
      <w:tr>
        <w:trPr/>
        <w:tc>
          <w:tcPr>
            <w:tcW w:w="2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(Commission</w:t>
              <w:br/>
              <w:t> 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(IRS Employer</w:t>
              <w:br/>
              <w:t>Identification No.)</w:t>
            </w:r>
          </w:p>
        </w:tc>
      </w:tr>
    </w:tbl>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1211 Avenue of the Americas, New York, New York 10036</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(Address of principal executive offices, including zip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(212) 416-3400</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w:t>
      </w:r>
    </w:p>
    <w:p>
      <w:pPr>
        <w:pStyle w:val="TextBody"/>
        <w:bidi w:val="0"/>
        <w:spacing w:lineRule="auto" w:line="288" w:before="0" w:after="0"/>
        <w:jc w:val="both"/>
        <w:rPr>
          <w:color w:val="000000"/>
        </w:rPr>
      </w:pPr>
      <w:r>
        <w:rPr>
          <w:color w:val="000000"/>
        </w:rPr>
        <w:t> </w:t>
      </w:r>
    </w:p>
    <w:p>
      <w:pPr>
        <w:pStyle w:val="TextBody"/>
        <w:bidi w:val="0"/>
        <w:spacing w:lineRule="auto" w:line="288" w:before="0" w:after="0"/>
        <w:jc w:val="both"/>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tbl>
      <w:tblPr>
        <w:tblW w:w="10133" w:type="dxa"/>
        <w:jc w:val="left"/>
        <w:tblInd w:w="0" w:type="dxa"/>
        <w:tblLayout w:type="fixed"/>
        <w:tblCellMar>
          <w:top w:w="28" w:type="dxa"/>
          <w:left w:w="28" w:type="dxa"/>
          <w:bottom w:w="28" w:type="dxa"/>
          <w:right w:w="28" w:type="dxa"/>
        </w:tblCellMar>
      </w:tblPr>
      <w:tblGrid>
        <w:gridCol w:w="1505"/>
        <w:gridCol w:w="1317"/>
        <w:gridCol w:w="1333"/>
        <w:gridCol w:w="109"/>
        <w:gridCol w:w="109"/>
        <w:gridCol w:w="109"/>
        <w:gridCol w:w="539"/>
        <w:gridCol w:w="539"/>
        <w:gridCol w:w="541"/>
        <w:gridCol w:w="109"/>
        <w:gridCol w:w="109"/>
        <w:gridCol w:w="109"/>
        <w:gridCol w:w="1085"/>
        <w:gridCol w:w="1085"/>
        <w:gridCol w:w="1535"/>
      </w:tblGrid>
      <w:tr>
        <w:trPr/>
        <w:tc>
          <w:tcPr>
            <w:tcW w:w="1505" w:type="dxa"/>
            <w:tcBorders/>
            <w:vAlign w:val="center"/>
          </w:tcPr>
          <w:p>
            <w:pPr>
              <w:pStyle w:val="TableContents"/>
              <w:bidi w:val="0"/>
              <w:spacing w:before="0" w:after="283"/>
              <w:jc w:val="left"/>
              <w:rPr>
                <w:sz w:val="4"/>
                <w:szCs w:val="4"/>
              </w:rPr>
            </w:pPr>
            <w:r>
              <w:rPr>
                <w:sz w:val="4"/>
                <w:szCs w:val="4"/>
              </w:rPr>
            </w:r>
          </w:p>
        </w:tc>
        <w:tc>
          <w:tcPr>
            <w:tcW w:w="1317" w:type="dxa"/>
            <w:tcBorders/>
            <w:vAlign w:val="center"/>
          </w:tcPr>
          <w:p>
            <w:pPr>
              <w:pStyle w:val="TableContents"/>
              <w:bidi w:val="0"/>
              <w:spacing w:before="0" w:after="283"/>
              <w:jc w:val="left"/>
              <w:rPr>
                <w:sz w:val="4"/>
                <w:szCs w:val="4"/>
              </w:rPr>
            </w:pPr>
            <w:r>
              <w:rPr>
                <w:sz w:val="4"/>
                <w:szCs w:val="4"/>
              </w:rPr>
            </w:r>
          </w:p>
        </w:tc>
        <w:tc>
          <w:tcPr>
            <w:tcW w:w="133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3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085" w:type="dxa"/>
            <w:tcBorders/>
            <w:vAlign w:val="center"/>
          </w:tcPr>
          <w:p>
            <w:pPr>
              <w:pStyle w:val="TableContents"/>
              <w:bidi w:val="0"/>
              <w:spacing w:before="0" w:after="283"/>
              <w:jc w:val="left"/>
              <w:rPr>
                <w:sz w:val="4"/>
                <w:szCs w:val="4"/>
              </w:rPr>
            </w:pPr>
            <w:r>
              <w:rPr>
                <w:sz w:val="4"/>
                <w:szCs w:val="4"/>
              </w:rPr>
            </w:r>
          </w:p>
        </w:tc>
        <w:tc>
          <w:tcPr>
            <w:tcW w:w="1535" w:type="dxa"/>
            <w:tcBorders/>
            <w:vAlign w:val="center"/>
          </w:tcPr>
          <w:p>
            <w:pPr>
              <w:pStyle w:val="TableContents"/>
              <w:bidi w:val="0"/>
              <w:spacing w:before="0" w:after="283"/>
              <w:jc w:val="left"/>
              <w:rPr>
                <w:sz w:val="4"/>
                <w:szCs w:val="4"/>
              </w:rPr>
            </w:pPr>
            <w:r>
              <w:rPr>
                <w:sz w:val="4"/>
                <w:szCs w:val="4"/>
              </w:rPr>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Title of each class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Trading Symbol(s)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Name of each exchange on which registered</w:t>
            </w:r>
          </w:p>
        </w:tc>
      </w:tr>
      <w:tr>
        <w:trPr/>
        <w:tc>
          <w:tcPr>
            <w:tcW w:w="415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A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NWSA</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r>
        <w:trPr/>
        <w:tc>
          <w:tcPr>
            <w:tcW w:w="415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Class B Common Stock, par value $0.01 per share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NWS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0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The Nasdaq Global Select Market</w:t>
            </w:r>
          </w:p>
        </w:tc>
      </w:tr>
    </w:tbl>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60" w:after="283"/>
        <w:jc w:val="left"/>
        <w:rPr>
          <w:color w:val="000000"/>
        </w:rPr>
      </w:pPr>
      <w:r>
        <w:rPr>
          <w:color w:val="000000"/>
        </w:rPr>
        <w:t> </w:t>
      </w:r>
      <w:r>
        <w:rPr>
          <w:rFonts w:ascii="Times New Roman;serif" w:hAnsi="Times New Roman;serif"/>
          <w:b w:val="false"/>
          <w:color w:val="000000"/>
          <w:sz w:val="20"/>
        </w:rPr>
        <w:t>Emerging growth company ☐</w:t>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2"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pPr>
      <w:r>
        <w:rPr>
          <w:rFonts w:ascii="Times New Roman;serif" w:hAnsi="Times New Roman;serif"/>
          <w:b/>
          <w:color w:val="000000"/>
          <w:sz w:val="20"/>
        </w:rPr>
        <w:t>Item 8.01    Other Events.</w:t>
      </w:r>
      <w:r>
        <w:rPr>
          <w:color w:val="000000"/>
        </w:rPr>
        <w:t> </w:t>
      </w:r>
    </w:p>
    <w:p>
      <w:pPr>
        <w:pStyle w:val="TextBody"/>
        <w:bidi w:val="0"/>
        <w:spacing w:lineRule="auto" w:line="288" w:before="240" w:after="240"/>
        <w:jc w:val="left"/>
        <w:rPr>
          <w:rFonts w:ascii="Times New Roman;serif" w:hAnsi="Times New Roman;serif"/>
          <w:b w:val="false"/>
          <w:color w:val="000000"/>
          <w:sz w:val="20"/>
        </w:rPr>
      </w:pPr>
      <w:r>
        <w:rPr>
          <w:rFonts w:ascii="Times New Roman;serif" w:hAnsi="Times New Roman;serif"/>
          <w:b w:val="false"/>
          <w:color w:val="000000"/>
          <w:sz w:val="20"/>
        </w:rPr>
        <w:t>As previously reported, under News Corporation's (the "Company's") stock repurchase program (the "Repurchase Program"), the Company is authorized to acquire from time to time up to $1 billion in the aggregate of the Company's outstanding shares of Class A common stock and Class B common stock. Under the rules of the Australian Securities Exchange (the "ASX"), the Company is required to provide to the ASX, on a daily basis, disclosure of transactions pursuant to the Repurchase Program, if any. The Company also discloses information concerning the Repurchase Program in the Company's quarterly and annual reports.</w:t>
      </w:r>
    </w:p>
    <w:p>
      <w:pPr>
        <w:pStyle w:val="TextBody"/>
        <w:bidi w:val="0"/>
        <w:spacing w:lineRule="auto" w:line="268" w:before="0" w:after="0"/>
        <w:jc w:val="left"/>
        <w:rPr/>
      </w:pPr>
      <w:r>
        <w:rPr>
          <w:rFonts w:ascii="Times New Roman;serif" w:hAnsi="Times New Roman;serif"/>
          <w:b w:val="false"/>
          <w:color w:val="231F20"/>
          <w:sz w:val="20"/>
        </w:rPr>
        <w:t xml:space="preserve">Attached as Exhibit 99.1, Exhibit 99.2, Exhibit 99.3 and Exhibit 99.4 are copies of the information provided to the ASX on the respective dates noted therein. Such information contains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within the meaning of the Private Securities Litigation Reform Act of 1995. These forward-looking statements include, but are not limited to, statements regarding the Company's intent to repurchase, from time to time, the Company's Class A common stock and Class B common stock. These statements are based on management's current expectations and beliefs and are subject to uncertainty and changes in circumstances. Actual results may vary materially from those expressed or implied by such statements due to, among other factors, changes in the market price of the Company's stock, general market conditions, applicable securities laws and alternative investment opportunities, as well as the risks, uncertainties and other factors described in the Company's filings with the Securities and Exchange Commission. The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 xml:space="preserve">included in such information are made only as of the date of this report. We do not have and do not undertake any obligation to publicly update any </w:t>
      </w:r>
      <w:r>
        <w:rPr>
          <w:rFonts w:ascii="Times New Roman;serif" w:hAnsi="Times New Roman;serif"/>
          <w:b w:val="false"/>
          <w:color w:val="000000"/>
          <w:sz w:val="20"/>
        </w:rPr>
        <w:t>"</w:t>
      </w:r>
      <w:r>
        <w:rPr>
          <w:rFonts w:ascii="Times New Roman;serif" w:hAnsi="Times New Roman;serif"/>
          <w:b w:val="false"/>
          <w:color w:val="231F20"/>
          <w:sz w:val="20"/>
        </w:rPr>
        <w:t>forward-looking statements</w:t>
      </w:r>
      <w:r>
        <w:rPr>
          <w:rFonts w:ascii="Times New Roman;serif" w:hAnsi="Times New Roman;serif"/>
          <w:b w:val="false"/>
          <w:color w:val="000000"/>
          <w:sz w:val="20"/>
        </w:rPr>
        <w:t>"</w:t>
      </w:r>
      <w:r>
        <w:rPr>
          <w:color w:val="231F20"/>
        </w:rPr>
        <w:t xml:space="preserve"> </w:t>
      </w:r>
      <w:r>
        <w:rPr>
          <w:rFonts w:ascii="Times New Roman;serif" w:hAnsi="Times New Roman;serif"/>
          <w:b w:val="false"/>
          <w:color w:val="231F20"/>
          <w:sz w:val="20"/>
        </w:rPr>
        <w:t>to reflect subsequent events or circumstances, and we expressly disclaim any such obligation, except as required by law or regulation.</w:t>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(d) Exhibits.</w:t>
      </w:r>
    </w:p>
    <w:p>
      <w:pPr>
        <w:pStyle w:val="TextBody"/>
        <w:bidi w:val="0"/>
        <w:spacing w:before="0" w:after="0"/>
        <w:jc w:val="left"/>
        <w:rPr/>
      </w:pPr>
      <w:r>
        <w:rPr/>
      </w:r>
    </w:p>
    <w:tbl>
      <w:tblPr>
        <w:tblW w:w="9207" w:type="dxa"/>
        <w:jc w:val="left"/>
        <w:tblInd w:w="0" w:type="dxa"/>
        <w:tblLayout w:type="fixed"/>
        <w:tblCellMar>
          <w:top w:w="28" w:type="dxa"/>
          <w:left w:w="28" w:type="dxa"/>
          <w:bottom w:w="28" w:type="dxa"/>
          <w:right w:w="28" w:type="dxa"/>
        </w:tblCellMar>
      </w:tblPr>
      <w:tblGrid>
        <w:gridCol w:w="391"/>
        <w:gridCol w:w="344"/>
        <w:gridCol w:w="345"/>
        <w:gridCol w:w="109"/>
        <w:gridCol w:w="109"/>
        <w:gridCol w:w="109"/>
        <w:gridCol w:w="2279"/>
        <w:gridCol w:w="2279"/>
        <w:gridCol w:w="3242"/>
      </w:tblGrid>
      <w:tr>
        <w:trPr/>
        <w:tc>
          <w:tcPr>
            <w:tcW w:w="391" w:type="dxa"/>
            <w:tcBorders/>
            <w:vAlign w:val="center"/>
          </w:tcPr>
          <w:p>
            <w:pPr>
              <w:pStyle w:val="TableContents"/>
              <w:bidi w:val="0"/>
              <w:spacing w:before="0" w:after="283"/>
              <w:jc w:val="left"/>
              <w:rPr>
                <w:sz w:val="4"/>
                <w:szCs w:val="4"/>
              </w:rPr>
            </w:pPr>
            <w:r>
              <w:rPr>
                <w:sz w:val="4"/>
                <w:szCs w:val="4"/>
              </w:rPr>
            </w:r>
          </w:p>
        </w:tc>
        <w:tc>
          <w:tcPr>
            <w:tcW w:w="344" w:type="dxa"/>
            <w:tcBorders/>
            <w:vAlign w:val="center"/>
          </w:tcPr>
          <w:p>
            <w:pPr>
              <w:pStyle w:val="TableContents"/>
              <w:bidi w:val="0"/>
              <w:spacing w:before="0" w:after="283"/>
              <w:jc w:val="left"/>
              <w:rPr>
                <w:sz w:val="4"/>
                <w:szCs w:val="4"/>
              </w:rPr>
            </w:pPr>
            <w:r>
              <w:rPr>
                <w:sz w:val="4"/>
                <w:szCs w:val="4"/>
              </w:rPr>
            </w:r>
          </w:p>
        </w:tc>
        <w:tc>
          <w:tcPr>
            <w:tcW w:w="34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2279" w:type="dxa"/>
            <w:tcBorders/>
            <w:vAlign w:val="center"/>
          </w:tcPr>
          <w:p>
            <w:pPr>
              <w:pStyle w:val="TableContents"/>
              <w:bidi w:val="0"/>
              <w:spacing w:before="0" w:after="283"/>
              <w:jc w:val="left"/>
              <w:rPr>
                <w:sz w:val="4"/>
                <w:szCs w:val="4"/>
              </w:rPr>
            </w:pPr>
            <w:r>
              <w:rPr>
                <w:sz w:val="4"/>
                <w:szCs w:val="4"/>
              </w:rPr>
            </w:r>
          </w:p>
        </w:tc>
        <w:tc>
          <w:tcPr>
            <w:tcW w:w="3242" w:type="dxa"/>
            <w:tcBorders/>
            <w:vAlign w:val="center"/>
          </w:tcPr>
          <w:p>
            <w:pPr>
              <w:pStyle w:val="TableContents"/>
              <w:bidi w:val="0"/>
              <w:spacing w:before="0" w:after="283"/>
              <w:jc w:val="left"/>
              <w:rPr>
                <w:sz w:val="4"/>
                <w:szCs w:val="4"/>
              </w:rPr>
            </w:pPr>
            <w:r>
              <w:rPr>
                <w:sz w:val="4"/>
                <w:szCs w:val="4"/>
              </w:rPr>
            </w:r>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Exhibit No.</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Description</w:t>
            </w:r>
          </w:p>
        </w:tc>
      </w:tr>
      <w:tr>
        <w:trPr/>
        <w:tc>
          <w:tcPr>
            <w:tcW w:w="108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09.htm">
              <w:r>
                <w:rPr>
                  <w:rStyle w:val="InternetLink"/>
                  <w:rFonts w:ascii="Times New Roman;serif" w:hAnsi="Times New Roman;serif"/>
                  <w:b w:val="false"/>
                  <w:color w:val="0000FF"/>
                  <w:sz w:val="20"/>
                  <w:u w:val="single"/>
                </w:rPr>
                <w:t>Information provided to the Australian Securities Exchange on the date noted on Exhibit 99.1.</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09.htm">
              <w:r>
                <w:rPr>
                  <w:rStyle w:val="InternetLink"/>
                  <w:rFonts w:ascii="Times New Roman;serif" w:hAnsi="Times New Roman;serif"/>
                  <w:b w:val="false"/>
                  <w:color w:val="0000FF"/>
                  <w:sz w:val="20"/>
                  <w:u w:val="single"/>
                </w:rPr>
                <w:t>Information provided to the Australian Securities Exchange on the date noted on Exhibit 99.2.</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a20261012.htm">
              <w:r>
                <w:rPr>
                  <w:rStyle w:val="InternetLink"/>
                  <w:rFonts w:ascii="Times New Roman;serif" w:hAnsi="Times New Roman;serif"/>
                  <w:b w:val="false"/>
                  <w:color w:val="0000FF"/>
                  <w:sz w:val="20"/>
                  <w:u w:val="single"/>
                </w:rPr>
                <w:t>Information provided to the Australian Securities Exchange on the date noted on Exhibit 99.3.</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99.4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ppendix3cclassb20261012.htm">
              <w:r>
                <w:rPr>
                  <w:rStyle w:val="InternetLink"/>
                  <w:rFonts w:ascii="Times New Roman;serif" w:hAnsi="Times New Roman;serif"/>
                  <w:b w:val="false"/>
                  <w:color w:val="0000FF"/>
                  <w:sz w:val="20"/>
                  <w:u w:val="single"/>
                </w:rPr>
                <w:t>Information provided to the Australian Securities Exchange on the date noted on Exhibit 99.4.</w:t>
              </w:r>
            </w:hyperlink>
          </w:p>
        </w:tc>
      </w:tr>
      <w:tr>
        <w:trPr/>
        <w:tc>
          <w:tcPr>
            <w:tcW w:w="10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0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
                <wp:simplePos x="0" y="0"/>
                <wp:positionH relativeFrom="character">
                  <wp:align>left</wp:align>
                </wp:positionH>
                <wp:positionV relativeFrom="line">
                  <wp:posOffset>635</wp:posOffset>
                </wp:positionV>
                <wp:extent cx="6480175" cy="175260"/>
                <wp:effectExtent l="0" t="0" r="0" b="0"/>
                <wp:wrapNone/>
                <wp:docPr id="3"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180" w:after="283"/>
        <w:ind w:left="0" w:right="0" w:firstLine="495"/>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722" w:type="dxa"/>
        <w:jc w:val="left"/>
        <w:tblInd w:w="0" w:type="dxa"/>
        <w:tblLayout w:type="fixed"/>
        <w:tblCellMar>
          <w:top w:w="28" w:type="dxa"/>
          <w:left w:w="28" w:type="dxa"/>
          <w:bottom w:w="28" w:type="dxa"/>
          <w:right w:w="28" w:type="dxa"/>
        </w:tblCellMar>
      </w:tblPr>
      <w:tblGrid>
        <w:gridCol w:w="124"/>
        <w:gridCol w:w="109"/>
        <w:gridCol w:w="109"/>
        <w:gridCol w:w="235"/>
        <w:gridCol w:w="235"/>
        <w:gridCol w:w="235"/>
        <w:gridCol w:w="235"/>
        <w:gridCol w:w="235"/>
        <w:gridCol w:w="235"/>
        <w:gridCol w:w="1732"/>
        <w:gridCol w:w="1732"/>
        <w:gridCol w:w="2506"/>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235"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1732" w:type="dxa"/>
            <w:tcBorders/>
            <w:vAlign w:val="center"/>
          </w:tcPr>
          <w:p>
            <w:pPr>
              <w:pStyle w:val="TableContents"/>
              <w:bidi w:val="0"/>
              <w:spacing w:before="0" w:after="283"/>
              <w:jc w:val="left"/>
              <w:rPr>
                <w:sz w:val="4"/>
                <w:szCs w:val="4"/>
              </w:rPr>
            </w:pPr>
            <w:r>
              <w:rPr>
                <w:sz w:val="4"/>
                <w:szCs w:val="4"/>
              </w:rPr>
            </w:r>
          </w:p>
        </w:tc>
        <w:tc>
          <w:tcPr>
            <w:tcW w:w="2506"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80"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color w:val="000000"/>
                <w:sz w:val="20"/>
              </w:rPr>
            </w:pPr>
            <w:r>
              <w:rPr>
                <w:rFonts w:ascii="Times New Roman;serif" w:hAnsi="Times New Roman;serif"/>
                <w:b/>
                <w:color w:val="000000"/>
                <w:sz w:val="20"/>
              </w:rPr>
              <w:t>NEWS CORPORATION</w:t>
              <w:br/>
              <w:t>(REGISTRANT)</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675"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op w:val="single" w:sz="16" w:space="0" w:color="000000"/>
            </w:tcBorders>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op w:val="single" w:sz="16"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Michael L. Bunder</w:t>
            </w:r>
          </w:p>
        </w:tc>
      </w:tr>
      <w:tr>
        <w:trPr/>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97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Senior Vice President, Deputy General Counsel and Corporate Secretary</w:t>
            </w:r>
          </w:p>
        </w:tc>
      </w:tr>
    </w:tbl>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Dated: October 13, 2026</w:t>
      </w:r>
    </w:p>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4"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center"/>
                        <w:rPr/>
                      </w:pPr>
                      <w:r>
                        <w:rPr/>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09/10/2026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756285"/>
                <wp:effectExtent l="0" t="0" r="0" b="0"/>
                <wp:wrapNone/>
                <wp:docPr id="5" name="Frame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358,555,706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756285"/>
                <wp:effectExtent l="0" t="0" r="0" b="0"/>
                <wp:wrapNone/>
                <wp:docPr id="6" name="Frame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756285"/>
                <wp:effectExtent l="0" t="0" r="0" b="0"/>
                <wp:wrapNone/>
                <wp:docPr id="7" name="Frame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13,045,264</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US$343,050,604.56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US$1,705,539.81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US$29.35</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US$28.91</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US$525,243,031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756285"/>
                <wp:effectExtent l="0" t="0" r="0" b="0"/>
                <wp:wrapNone/>
                <wp:docPr id="8" name="Frame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Update to 3A.1</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15/07/2025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09/10/2026</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756285"/>
                <wp:effectExtent l="0" t="0" r="0" b="0"/>
                <wp:wrapNone/>
                <wp:docPr id="9" name="Frame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143,583,725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756285"/>
                <wp:effectExtent l="0" t="0" r="0" b="0"/>
                <wp:wrapNone/>
                <wp:docPr id="10" name="Frame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756285"/>
                <wp:effectExtent l="0" t="0" r="0" b="0"/>
                <wp:wrapNone/>
                <wp:docPr id="11" name="Frame10"/>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09/10/2026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6,045,532</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US$179,667,957.65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US$818,928.78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US$32.42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US$32.00</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US$525,243,031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756285"/>
                <wp:effectExtent l="0" t="0" r="0" b="0"/>
                <wp:wrapNone/>
                <wp:docPr id="12" name="Frame11"/>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NWSAA</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A</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756285"/>
                <wp:effectExtent l="0" t="0" r="0" b="0"/>
                <wp:wrapNone/>
                <wp:docPr id="13" name="Frame12"/>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358,555,706</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756285"/>
                <wp:effectExtent l="0" t="0" r="0" b="0"/>
                <wp:wrapNone/>
                <wp:docPr id="14" name="Frame13"/>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756285"/>
                <wp:effectExtent l="0" t="0" r="0" b="0"/>
                <wp:wrapNone/>
                <wp:docPr id="15" name="Frame14"/>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81"/>
        <w:gridCol w:w="1681"/>
        <w:gridCol w:w="2092"/>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1681" w:type="dxa"/>
            <w:tcBorders/>
            <w:vAlign w:val="center"/>
          </w:tcPr>
          <w:p>
            <w:pPr>
              <w:pStyle w:val="TableContents"/>
              <w:bidi w:val="0"/>
              <w:spacing w:before="0" w:after="283"/>
              <w:jc w:val="left"/>
              <w:rPr>
                <w:sz w:val="4"/>
                <w:szCs w:val="4"/>
              </w:rPr>
            </w:pPr>
            <w:r>
              <w:rPr>
                <w:sz w:val="4"/>
                <w:szCs w:val="4"/>
              </w:rPr>
            </w:r>
          </w:p>
        </w:tc>
        <w:tc>
          <w:tcPr>
            <w:tcW w:w="2092"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13,103,746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58,482</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*Total consideration paid or payable for the +securities </w:t>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US$344,756,144.36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US$1,715,733.22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US$31.58</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US$29.44</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US$22.20</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09/02/2026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US$29.12</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US$527,782,438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756285"/>
                <wp:effectExtent l="0" t="0" r="0" b="0"/>
                <wp:wrapNone/>
                <wp:docPr id="16" name="Frame15"/>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tbl>
      <w:tblPr>
        <w:tblW w:w="1139" w:type="dxa"/>
        <w:jc w:val="left"/>
        <w:tblInd w:w="0" w:type="dxa"/>
        <w:tblLayout w:type="fixed"/>
        <w:tblCellMar>
          <w:top w:w="28" w:type="dxa"/>
          <w:left w:w="28" w:type="dxa"/>
          <w:bottom w:w="28" w:type="dxa"/>
          <w:right w:w="28" w:type="dxa"/>
        </w:tblCellMar>
      </w:tblPr>
      <w:tblGrid>
        <w:gridCol w:w="364"/>
        <w:gridCol w:w="320"/>
        <w:gridCol w:w="455"/>
      </w:tblGrid>
      <w:tr>
        <w:trPr/>
        <w:tc>
          <w:tcPr>
            <w:tcW w:w="364" w:type="dxa"/>
            <w:tcBorders/>
            <w:vAlign w:val="center"/>
          </w:tcPr>
          <w:p>
            <w:pPr>
              <w:pStyle w:val="TableContents"/>
              <w:bidi w:val="0"/>
              <w:spacing w:before="0" w:after="283"/>
              <w:jc w:val="left"/>
              <w:rPr>
                <w:sz w:val="4"/>
                <w:szCs w:val="4"/>
              </w:rPr>
            </w:pPr>
            <w:r>
              <w:rPr>
                <w:sz w:val="4"/>
                <w:szCs w:val="4"/>
              </w:rPr>
            </w:r>
          </w:p>
        </w:tc>
        <w:tc>
          <w:tcPr>
            <w:tcW w:w="320" w:type="dxa"/>
            <w:tcBorders/>
            <w:vAlign w:val="center"/>
          </w:tcPr>
          <w:p>
            <w:pPr>
              <w:pStyle w:val="TableContents"/>
              <w:bidi w:val="0"/>
              <w:spacing w:before="0" w:after="283"/>
              <w:jc w:val="left"/>
              <w:rPr>
                <w:sz w:val="4"/>
                <w:szCs w:val="4"/>
              </w:rPr>
            </w:pPr>
            <w:r>
              <w:rPr>
                <w:sz w:val="4"/>
                <w:szCs w:val="4"/>
              </w:rPr>
            </w:r>
          </w:p>
        </w:tc>
        <w:tc>
          <w:tcPr>
            <w:tcW w:w="455" w:type="dxa"/>
            <w:tcBorders/>
            <w:vAlign w:val="center"/>
          </w:tcPr>
          <w:p>
            <w:pPr>
              <w:pStyle w:val="TableContents"/>
              <w:bidi w:val="0"/>
              <w:spacing w:before="0" w:after="283"/>
              <w:jc w:val="left"/>
              <w:rPr>
                <w:sz w:val="4"/>
                <w:szCs w:val="4"/>
              </w:rPr>
            </w:pPr>
            <w:r>
              <w:rPr>
                <w:sz w:val="4"/>
                <w:szCs w:val="4"/>
              </w:rPr>
            </w:r>
          </w:p>
        </w:tc>
      </w:tr>
      <w:tr>
        <w:trPr/>
        <w:tc>
          <w:tcPr>
            <w:tcW w:w="1139"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i/>
                <w:color w:val="000000"/>
                <w:sz w:val="20"/>
              </w:rPr>
            </w:pPr>
            <w:r>
              <w:rPr>
                <w:rFonts w:ascii="Arial;sans-serif" w:hAnsi="Arial;sans-serif"/>
                <w:b w:val="false"/>
                <w:i/>
                <w:color w:val="000000"/>
                <w:sz w:val="20"/>
              </w:rPr>
              <w:t>+Rule 3.8A</w:t>
            </w:r>
          </w:p>
        </w:tc>
      </w:tr>
    </w:tbl>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Appendix 3C</w:t>
      </w:r>
    </w:p>
    <w:p>
      <w:pPr>
        <w:pStyle w:val="TextBody"/>
        <w:bidi w:val="0"/>
        <w:spacing w:lineRule="auto" w:line="240" w:before="60" w:after="60"/>
        <w:jc w:val="center"/>
        <w:rPr>
          <w:rFonts w:ascii="Arial;sans-serif" w:hAnsi="Arial;sans-serif"/>
          <w:b/>
          <w:color w:val="000000"/>
          <w:sz w:val="32"/>
        </w:rPr>
      </w:pPr>
      <w:r>
        <w:rPr>
          <w:rFonts w:ascii="Arial;sans-serif" w:hAnsi="Arial;sans-serif"/>
          <w:b/>
          <w:color w:val="000000"/>
          <w:sz w:val="32"/>
        </w:rPr>
        <w:t>Notification of buy-back</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Information or documents not available now must be given to ASX as soon as available. Information and documents given to ASX become ASX’s property and may be made public.</w:t>
      </w:r>
    </w:p>
    <w:p>
      <w:pPr>
        <w:pStyle w:val="TextBody"/>
        <w:bidi w:val="0"/>
        <w:spacing w:lineRule="auto" w:line="240" w:before="60" w:after="60"/>
        <w:jc w:val="left"/>
        <w:rPr>
          <w:rFonts w:ascii="Arial;sans-serif" w:hAnsi="Arial;sans-serif"/>
          <w:b w:val="false"/>
          <w:i/>
          <w:color w:val="000000"/>
          <w:sz w:val="20"/>
        </w:rPr>
      </w:pPr>
      <w:r>
        <w:rPr>
          <w:rFonts w:ascii="Arial;sans-serif" w:hAnsi="Arial;sans-serif"/>
          <w:b w:val="false"/>
          <w:i/>
          <w:color w:val="000000"/>
          <w:sz w:val="20"/>
        </w:rPr>
        <w:t>*Denotes minimum information required for first lodgement of this form, with exceptions provided in specific notes for certain questions. The balance of the information, where applicable, must be provided as soon as reasonably practicable by the entity.</w:t>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1 – Entity and announcement details</w:t>
      </w:r>
    </w:p>
    <w:tbl>
      <w:tblPr>
        <w:tblW w:w="10205" w:type="dxa"/>
        <w:jc w:val="left"/>
        <w:tblInd w:w="0" w:type="dxa"/>
        <w:tblLayout w:type="fixed"/>
        <w:tblCellMar>
          <w:top w:w="28" w:type="dxa"/>
          <w:left w:w="28" w:type="dxa"/>
          <w:bottom w:w="28" w:type="dxa"/>
          <w:right w:w="28" w:type="dxa"/>
        </w:tblCellMar>
      </w:tblPr>
      <w:tblGrid>
        <w:gridCol w:w="356"/>
        <w:gridCol w:w="313"/>
        <w:gridCol w:w="314"/>
        <w:gridCol w:w="2333"/>
        <w:gridCol w:w="2067"/>
        <w:gridCol w:w="2073"/>
        <w:gridCol w:w="802"/>
        <w:gridCol w:w="802"/>
        <w:gridCol w:w="1145"/>
      </w:tblGrid>
      <w:tr>
        <w:trPr/>
        <w:tc>
          <w:tcPr>
            <w:tcW w:w="356"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314" w:type="dxa"/>
            <w:tcBorders/>
            <w:vAlign w:val="center"/>
          </w:tcPr>
          <w:p>
            <w:pPr>
              <w:pStyle w:val="TableContents"/>
              <w:bidi w:val="0"/>
              <w:spacing w:before="0" w:after="283"/>
              <w:jc w:val="left"/>
              <w:rPr>
                <w:sz w:val="4"/>
                <w:szCs w:val="4"/>
              </w:rPr>
            </w:pPr>
            <w:r>
              <w:rPr>
                <w:sz w:val="4"/>
                <w:szCs w:val="4"/>
              </w:rPr>
            </w:r>
          </w:p>
        </w:tc>
        <w:tc>
          <w:tcPr>
            <w:tcW w:w="2333" w:type="dxa"/>
            <w:tcBorders/>
            <w:vAlign w:val="center"/>
          </w:tcPr>
          <w:p>
            <w:pPr>
              <w:pStyle w:val="TableContents"/>
              <w:bidi w:val="0"/>
              <w:spacing w:before="0" w:after="283"/>
              <w:jc w:val="left"/>
              <w:rPr>
                <w:sz w:val="4"/>
                <w:szCs w:val="4"/>
              </w:rPr>
            </w:pPr>
            <w:r>
              <w:rPr>
                <w:sz w:val="4"/>
                <w:szCs w:val="4"/>
              </w:rPr>
            </w:r>
          </w:p>
        </w:tc>
        <w:tc>
          <w:tcPr>
            <w:tcW w:w="2067" w:type="dxa"/>
            <w:tcBorders/>
            <w:vAlign w:val="center"/>
          </w:tcPr>
          <w:p>
            <w:pPr>
              <w:pStyle w:val="TableContents"/>
              <w:bidi w:val="0"/>
              <w:spacing w:before="0" w:after="283"/>
              <w:jc w:val="left"/>
              <w:rPr>
                <w:sz w:val="4"/>
                <w:szCs w:val="4"/>
              </w:rPr>
            </w:pPr>
            <w:r>
              <w:rPr>
                <w:sz w:val="4"/>
                <w:szCs w:val="4"/>
              </w:rPr>
            </w:r>
          </w:p>
        </w:tc>
        <w:tc>
          <w:tcPr>
            <w:tcW w:w="2073"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1.1</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*Name of entity</w:t>
            </w:r>
          </w:p>
          <w:p>
            <w:pPr>
              <w:pStyle w:val="TableContents"/>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We (the entity named above) provide the following information about our buy-back</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NEWS CORPORATION</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*Registration type and number</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Please supply your ABN, ARSN, ARBN, ACN or another registration type and number (if you supply another registration type, please specify both the type of registration and the registration number).</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ARBN 163882933</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*ASX issuer code</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NWS</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announcement is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Select whichever is applicable.</w:t>
            </w:r>
          </w:p>
        </w:tc>
        <w:tc>
          <w:tcPr>
            <w:tcW w:w="274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New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Update/amendment to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Cancellation of previous announcement</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Daily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 xml:space="preserve">Not applicable for selective buy-backs </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4)</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Final buy-back notification</w:t>
            </w:r>
          </w:p>
          <w:p>
            <w:pPr>
              <w:pStyle w:val="TableContents"/>
              <w:bidi w:val="0"/>
              <w:spacing w:lineRule="auto" w:line="240" w:before="60" w:after="60"/>
              <w:jc w:val="left"/>
              <w:rPr>
                <w:rFonts w:ascii="Arial Narrow;sans-serif" w:hAnsi="Arial Narrow;sans-serif"/>
                <w:b w:val="false"/>
                <w:i/>
                <w:color w:val="000000"/>
                <w:sz w:val="16"/>
              </w:rPr>
            </w:pPr>
            <w:r>
              <w:rPr>
                <w:rFonts w:ascii="Arial Narrow;sans-serif" w:hAnsi="Arial Narrow;sans-serif"/>
                <w:b w:val="false"/>
                <w:i/>
                <w:color w:val="000000"/>
                <w:sz w:val="16"/>
              </w:rPr>
              <w:t>(complete Part 5)</w:t>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1.4b</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bottom w:w="0" w:type="dxa"/>
            </w:tcMar>
            <w:vAlign w:val="center"/>
          </w:tcPr>
          <w:p>
            <w:pPr>
              <w:pStyle w:val="TableContents"/>
              <w:bidi w:val="0"/>
              <w:spacing w:before="60" w:after="60"/>
              <w:jc w:val="left"/>
              <w:rPr/>
            </w:pPr>
            <w:r>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1.4c</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initial notification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 or “Cancellation of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1.4d</w:t>
            </w:r>
          </w:p>
        </w:tc>
        <w:tc>
          <w:tcPr>
            <w:tcW w:w="6473"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of previous announcement to this update</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1.4 is “Update/amendment to previous announcement”.</w:t>
            </w:r>
          </w:p>
        </w:tc>
        <w:tc>
          <w:tcPr>
            <w:tcW w:w="2749" w:type="dxa"/>
            <w:gridSpan w:val="3"/>
            <w:tcBorders>
              <w:top w:val="single" w:sz="4" w:space="0" w:color="000000"/>
              <w:left w:val="single" w:sz="4" w:space="0" w:color="000000"/>
              <w:right w:val="single" w:sz="4" w:space="0" w:color="000000"/>
            </w:tcBorders>
            <w:tcMar>
              <w:left w:w="75" w:type="dxa"/>
              <w:bottom w:w="0" w:type="dxa"/>
            </w:tcMar>
            <w:vAlign w:val="center"/>
          </w:tcPr>
          <w:p>
            <w:pPr>
              <w:pStyle w:val="TableContents"/>
              <w:bidi w:val="0"/>
              <w:spacing w:before="0" w:after="283"/>
              <w:jc w:val="left"/>
              <w:rPr>
                <w:sz w:val="4"/>
                <w:szCs w:val="4"/>
              </w:rPr>
            </w:pPr>
            <w:r>
              <w:rPr>
                <w:sz w:val="4"/>
                <w:szCs w:val="4"/>
              </w:rPr>
            </w:r>
          </w:p>
        </w:tc>
      </w:tr>
      <w:tr>
        <w:trPr/>
        <w:tc>
          <w:tcPr>
            <w:tcW w:w="98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1.5</w:t>
            </w:r>
          </w:p>
        </w:tc>
        <w:tc>
          <w:tcPr>
            <w:tcW w:w="6473"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announcement</w:t>
            </w:r>
          </w:p>
        </w:tc>
        <w:tc>
          <w:tcPr>
            <w:tcW w:w="2749"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13/10/2026</w:t>
            </w:r>
          </w:p>
        </w:tc>
      </w:tr>
      <w:tr>
        <w:trPr/>
        <w:tc>
          <w:tcPr>
            <w:tcW w:w="983"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1.6</w:t>
            </w:r>
          </w:p>
        </w:tc>
        <w:tc>
          <w:tcPr>
            <w:tcW w:w="6473"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*Class of +securities the subject of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only one type of buy-back for one class of security can be advised in this notification. If a buy-back extends to more than one class of security, a separate notification is required for each class.</w:t>
            </w:r>
          </w:p>
        </w:tc>
        <w:tc>
          <w:tcPr>
            <w:tcW w:w="274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ASX Security Code: NWSAB</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Security Description: COMMON STOCK CLASS B</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756285"/>
                <wp:effectExtent l="0" t="0" r="0" b="0"/>
                <wp:wrapNone/>
                <wp:docPr id="17" name="Frame16"/>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1</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 xml:space="preserve">Part 2 –Type of buy-back </w:t>
      </w:r>
    </w:p>
    <w:tbl>
      <w:tblPr>
        <w:tblW w:w="10205" w:type="dxa"/>
        <w:jc w:val="left"/>
        <w:tblInd w:w="0" w:type="dxa"/>
        <w:tblLayout w:type="fixed"/>
        <w:tblCellMar>
          <w:top w:w="28" w:type="dxa"/>
          <w:left w:w="28" w:type="dxa"/>
          <w:bottom w:w="28" w:type="dxa"/>
          <w:right w:w="28" w:type="dxa"/>
        </w:tblCellMar>
      </w:tblPr>
      <w:tblGrid>
        <w:gridCol w:w="332"/>
        <w:gridCol w:w="291"/>
        <w:gridCol w:w="292"/>
        <w:gridCol w:w="1197"/>
        <w:gridCol w:w="1197"/>
        <w:gridCol w:w="1210"/>
        <w:gridCol w:w="1890"/>
        <w:gridCol w:w="1564"/>
        <w:gridCol w:w="2232"/>
      </w:tblGrid>
      <w:tr>
        <w:trPr/>
        <w:tc>
          <w:tcPr>
            <w:tcW w:w="332" w:type="dxa"/>
            <w:tcBorders/>
            <w:vAlign w:val="center"/>
          </w:tcPr>
          <w:p>
            <w:pPr>
              <w:pStyle w:val="TableContents"/>
              <w:bidi w:val="0"/>
              <w:spacing w:before="0" w:after="283"/>
              <w:jc w:val="left"/>
              <w:rPr>
                <w:sz w:val="4"/>
                <w:szCs w:val="4"/>
              </w:rPr>
            </w:pPr>
            <w:r>
              <w:rPr>
                <w:sz w:val="4"/>
                <w:szCs w:val="4"/>
              </w:rPr>
            </w:r>
          </w:p>
        </w:tc>
        <w:tc>
          <w:tcPr>
            <w:tcW w:w="291"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1210" w:type="dxa"/>
            <w:tcBorders/>
            <w:vAlign w:val="center"/>
          </w:tcPr>
          <w:p>
            <w:pPr>
              <w:pStyle w:val="TableContents"/>
              <w:bidi w:val="0"/>
              <w:spacing w:before="0" w:after="283"/>
              <w:jc w:val="left"/>
              <w:rPr>
                <w:sz w:val="4"/>
                <w:szCs w:val="4"/>
              </w:rPr>
            </w:pPr>
            <w:r>
              <w:rPr>
                <w:sz w:val="4"/>
                <w:szCs w:val="4"/>
              </w:rPr>
            </w:r>
          </w:p>
        </w:tc>
        <w:tc>
          <w:tcPr>
            <w:tcW w:w="1890" w:type="dxa"/>
            <w:tcBorders/>
            <w:vAlign w:val="center"/>
          </w:tcPr>
          <w:p>
            <w:pPr>
              <w:pStyle w:val="TableContents"/>
              <w:bidi w:val="0"/>
              <w:spacing w:before="0" w:after="283"/>
              <w:jc w:val="left"/>
              <w:rPr>
                <w:sz w:val="4"/>
                <w:szCs w:val="4"/>
              </w:rPr>
            </w:pPr>
            <w:r>
              <w:rPr>
                <w:sz w:val="4"/>
                <w:szCs w:val="4"/>
              </w:rPr>
            </w:r>
          </w:p>
        </w:tc>
        <w:tc>
          <w:tcPr>
            <w:tcW w:w="1564" w:type="dxa"/>
            <w:tcBorders/>
            <w:vAlign w:val="center"/>
          </w:tcPr>
          <w:p>
            <w:pPr>
              <w:pStyle w:val="TableContents"/>
              <w:bidi w:val="0"/>
              <w:spacing w:before="0" w:after="283"/>
              <w:jc w:val="left"/>
              <w:rPr>
                <w:sz w:val="4"/>
                <w:szCs w:val="4"/>
              </w:rPr>
            </w:pPr>
            <w:r>
              <w:rPr>
                <w:sz w:val="4"/>
                <w:szCs w:val="4"/>
              </w:rPr>
            </w:r>
          </w:p>
        </w:tc>
        <w:tc>
          <w:tcPr>
            <w:tcW w:w="2232" w:type="dxa"/>
            <w:tcBorders/>
            <w:vAlign w:val="center"/>
          </w:tcPr>
          <w:p>
            <w:pPr>
              <w:pStyle w:val="TableContents"/>
              <w:bidi w:val="0"/>
              <w:spacing w:before="0" w:after="283"/>
              <w:jc w:val="left"/>
              <w:rPr>
                <w:sz w:val="4"/>
                <w:szCs w:val="4"/>
              </w:rPr>
            </w:pPr>
            <w:r>
              <w:rPr>
                <w:sz w:val="4"/>
                <w:szCs w:val="4"/>
              </w:rPr>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18"/>
              </w:rPr>
            </w:pPr>
            <w:r>
              <w:rPr>
                <w:rFonts w:ascii="Arial;sans-serif" w:hAnsi="Arial;sans-serif"/>
                <w:b/>
                <w:color w:val="000000"/>
                <w:sz w:val="18"/>
              </w:rPr>
              <w:t>Question No.</w:t>
            </w:r>
          </w:p>
        </w:tc>
        <w:tc>
          <w:tcPr>
            <w:tcW w:w="360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Question</w:t>
            </w:r>
          </w:p>
        </w:tc>
        <w:tc>
          <w:tcPr>
            <w:tcW w:w="568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Answer</w:t>
            </w:r>
          </w:p>
        </w:tc>
      </w:tr>
      <w:tr>
        <w:trPr/>
        <w:tc>
          <w:tcPr>
            <w:tcW w:w="915"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2.1</w:t>
            </w:r>
          </w:p>
        </w:tc>
        <w:tc>
          <w:tcPr>
            <w:tcW w:w="360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*The type of buy-back is</w:t>
            </w:r>
          </w:p>
          <w:p>
            <w:pPr>
              <w:pStyle w:val="TableContents"/>
              <w:bidi w:val="0"/>
              <w:spacing w:lineRule="auto" w:line="288" w:before="60" w:after="60"/>
              <w:jc w:val="left"/>
              <w:rPr>
                <w:rFonts w:ascii="Arial;sans-serif" w:hAnsi="Arial;sans-serif"/>
                <w:b w:val="false"/>
                <w:i/>
                <w:color w:val="000000"/>
                <w:sz w:val="16"/>
              </w:rPr>
            </w:pPr>
            <w:r>
              <w:rPr>
                <w:rFonts w:ascii="Arial;sans-serif" w:hAnsi="Arial;sans-serif"/>
                <w:b w:val="false"/>
                <w:i/>
                <w:color w:val="000000"/>
                <w:sz w:val="16"/>
              </w:rPr>
              <w:t>Note this form is not required for minimum holding buy-backs (i.e. buy-backs of unmarketable parcels). The only notification required to ASX for a minimum holding buy-back is the lodgement of an Appendix 3H within 5 business days of the completion of the minimum holding buy-back notifying ASX of the cancellation of the securities bought back in accordance with listing rule 3.8A.</w:t>
            </w:r>
          </w:p>
        </w:tc>
        <w:tc>
          <w:tcPr>
            <w:tcW w:w="5686"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Employee share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On-market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Equal access scheme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Selective buy-back</w:t>
            </w:r>
          </w:p>
          <w:p>
            <w:pPr>
              <w:pStyle w:val="TableContents"/>
              <w:bidi w:val="0"/>
              <w:spacing w:lineRule="auto" w:line="240" w:before="60" w:after="60"/>
              <w:ind w:left="0" w:right="0" w:hanging="284"/>
              <w:jc w:val="left"/>
              <w:rPr/>
            </w:pPr>
            <w:r>
              <w:rPr>
                <w:color w:val="000000"/>
              </w:rPr>
              <w:t xml:space="preserve">☒ </w:t>
            </w:r>
            <w:r>
              <w:rPr>
                <w:rFonts w:ascii="Arial;sans-serif" w:hAnsi="Arial;sans-serif"/>
                <w:b w:val="false"/>
                <w:color w:val="000000"/>
                <w:sz w:val="20"/>
              </w:rPr>
              <w:t>Other buy-back</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Select one item.</w:t>
            </w:r>
          </w:p>
          <w:p>
            <w:pPr>
              <w:pStyle w:val="TableContents"/>
              <w:bidi w:val="0"/>
              <w:spacing w:lineRule="auto" w:line="240" w:before="60" w:after="60"/>
              <w:jc w:val="left"/>
              <w:rPr>
                <w:rFonts w:ascii="Helvetica;sans-serif" w:hAnsi="Helvetica;sans-serif"/>
                <w:b w:val="false"/>
                <w:i/>
                <w:color w:val="000000"/>
                <w:sz w:val="16"/>
              </w:rPr>
            </w:pPr>
            <w:r>
              <w:rPr>
                <w:rFonts w:ascii="Helvetica;sans-serif" w:hAnsi="Helvetica;sans-serif"/>
                <w:b w:val="false"/>
                <w:i/>
                <w:color w:val="000000"/>
                <w:sz w:val="16"/>
              </w:rPr>
              <w:t>Note: “Other buy-back” does not include a minimum holding buy-back. The section “Other buy-back” will generally only be applicable to an entity established outside Australia.</w:t>
            </w:r>
          </w:p>
        </w:tc>
      </w:tr>
      <w:tr>
        <w:trPr/>
        <w:tc>
          <w:tcPr>
            <w:tcW w:w="91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w:t>
            </w:r>
          </w:p>
        </w:tc>
        <w:tc>
          <w:tcPr>
            <w:tcW w:w="360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Helvetica;sans-serif" w:hAnsi="Helvetica;sans-serif"/>
                <w:b w:val="false"/>
                <w:color w:val="000000"/>
                <w:sz w:val="20"/>
              </w:rPr>
            </w:pPr>
            <w:r>
              <w:rPr>
                <w:rFonts w:ascii="Helvetica;sans-serif" w:hAnsi="Helvetica;sans-serif"/>
                <w:b w:val="false"/>
                <w:color w:val="000000"/>
                <w:sz w:val="20"/>
              </w:rPr>
              <w:t>Please describe the type of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68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Repurchase program for up to an aggregate of US$1 billion of the Company’s Nasdaq-listed Class A common stock and Class B common stock authorized as of July 15, 2025 (the “2025 Repurchase Program”). Subject to market conditions and the market price of the Company’s stock, as well as other factors, the Company intends to repurchase, from time to time, in the open market or otherwise, a combination of the Company’s Class A common stock and Class B common stock. No ASX-listed CDIs will be repurchased in these programs.</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 –Buy-back details</w:t>
      </w:r>
    </w:p>
    <w:p>
      <w:pPr>
        <w:pStyle w:val="TextBody"/>
        <w:bidi w:val="0"/>
        <w:spacing w:lineRule="auto" w:line="240" w:before="120" w:after="120"/>
        <w:jc w:val="left"/>
        <w:rPr>
          <w:rFonts w:ascii="Arial;sans-serif" w:hAnsi="Arial;sans-serif"/>
          <w:b w:val="false"/>
          <w:color w:val="000000"/>
          <w:sz w:val="28"/>
        </w:rPr>
      </w:pPr>
      <w:r>
        <w:rPr>
          <w:rFonts w:ascii="Arial;sans-serif" w:hAnsi="Arial;sans-serif"/>
          <w:b w:val="false"/>
          <w:color w:val="000000"/>
          <w:sz w:val="28"/>
        </w:rPr>
        <w:t>Part 3A – Details of +securities, price and reason</w:t>
      </w:r>
    </w:p>
    <w:tbl>
      <w:tblPr>
        <w:tblW w:w="10205" w:type="dxa"/>
        <w:jc w:val="left"/>
        <w:tblInd w:w="0" w:type="dxa"/>
        <w:tblLayout w:type="fixed"/>
        <w:tblCellMar>
          <w:top w:w="28" w:type="dxa"/>
          <w:left w:w="28" w:type="dxa"/>
          <w:bottom w:w="28" w:type="dxa"/>
          <w:right w:w="28" w:type="dxa"/>
        </w:tblCellMar>
      </w:tblPr>
      <w:tblGrid>
        <w:gridCol w:w="165"/>
        <w:gridCol w:w="145"/>
        <w:gridCol w:w="146"/>
        <w:gridCol w:w="1352"/>
        <w:gridCol w:w="1352"/>
        <w:gridCol w:w="1355"/>
        <w:gridCol w:w="1664"/>
        <w:gridCol w:w="1664"/>
        <w:gridCol w:w="2362"/>
      </w:tblGrid>
      <w:tr>
        <w:trPr/>
        <w:tc>
          <w:tcPr>
            <w:tcW w:w="165" w:type="dxa"/>
            <w:tcBorders/>
            <w:vAlign w:val="center"/>
          </w:tcPr>
          <w:p>
            <w:pPr>
              <w:pStyle w:val="TableContents"/>
              <w:bidi w:val="0"/>
              <w:spacing w:before="0" w:after="283"/>
              <w:jc w:val="left"/>
              <w:rPr>
                <w:sz w:val="4"/>
                <w:szCs w:val="4"/>
              </w:rPr>
            </w:pPr>
            <w:r>
              <w:rPr>
                <w:sz w:val="4"/>
                <w:szCs w:val="4"/>
              </w:rPr>
            </w:r>
          </w:p>
        </w:tc>
        <w:tc>
          <w:tcPr>
            <w:tcW w:w="145" w:type="dxa"/>
            <w:tcBorders/>
            <w:vAlign w:val="center"/>
          </w:tcPr>
          <w:p>
            <w:pPr>
              <w:pStyle w:val="TableContents"/>
              <w:bidi w:val="0"/>
              <w:spacing w:before="0" w:after="283"/>
              <w:jc w:val="left"/>
              <w:rPr>
                <w:sz w:val="4"/>
                <w:szCs w:val="4"/>
              </w:rPr>
            </w:pPr>
            <w:r>
              <w:rPr>
                <w:sz w:val="4"/>
                <w:szCs w:val="4"/>
              </w:rPr>
            </w:r>
          </w:p>
        </w:tc>
        <w:tc>
          <w:tcPr>
            <w:tcW w:w="146"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2" w:type="dxa"/>
            <w:tcBorders/>
            <w:vAlign w:val="center"/>
          </w:tcPr>
          <w:p>
            <w:pPr>
              <w:pStyle w:val="TableContents"/>
              <w:bidi w:val="0"/>
              <w:spacing w:before="0" w:after="283"/>
              <w:jc w:val="left"/>
              <w:rPr>
                <w:sz w:val="4"/>
                <w:szCs w:val="4"/>
              </w:rPr>
            </w:pPr>
            <w:r>
              <w:rPr>
                <w:sz w:val="4"/>
                <w:szCs w:val="4"/>
              </w:rPr>
            </w:r>
          </w:p>
        </w:tc>
        <w:tc>
          <w:tcPr>
            <w:tcW w:w="1355"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1664" w:type="dxa"/>
            <w:tcBorders/>
            <w:vAlign w:val="center"/>
          </w:tcPr>
          <w:p>
            <w:pPr>
              <w:pStyle w:val="TableContents"/>
              <w:bidi w:val="0"/>
              <w:spacing w:before="0" w:after="283"/>
              <w:jc w:val="left"/>
              <w:rPr>
                <w:sz w:val="4"/>
                <w:szCs w:val="4"/>
              </w:rPr>
            </w:pPr>
            <w:r>
              <w:rPr>
                <w:sz w:val="4"/>
                <w:szCs w:val="4"/>
              </w:rPr>
            </w:r>
          </w:p>
        </w:tc>
        <w:tc>
          <w:tcPr>
            <w:tcW w:w="2362" w:type="dxa"/>
            <w:tcBorders/>
            <w:vAlign w:val="center"/>
          </w:tcPr>
          <w:p>
            <w:pPr>
              <w:pStyle w:val="TableContents"/>
              <w:bidi w:val="0"/>
              <w:spacing w:before="0" w:after="283"/>
              <w:jc w:val="left"/>
              <w:rPr>
                <w:sz w:val="4"/>
                <w:szCs w:val="4"/>
              </w:rPr>
            </w:pPr>
            <w:r>
              <w:rPr>
                <w:sz w:val="4"/>
                <w:szCs w:val="4"/>
              </w:rPr>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w:t>
            </w:r>
          </w:p>
        </w:tc>
        <w:tc>
          <w:tcPr>
            <w:tcW w:w="4059"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on issue in the class of +securities to be bought 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143,583,725</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3A.2</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 xml:space="preserve">*Total number of +securities proposed to be bought back </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“Selective buy-back” or “Other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45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3A.4</w:t>
            </w:r>
          </w:p>
        </w:tc>
        <w:tc>
          <w:tcPr>
            <w:tcW w:w="4059"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minimum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5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w:t>
            </w:r>
          </w:p>
        </w:tc>
        <w:tc>
          <w:tcPr>
            <w:tcW w:w="4059"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entity intend to buy back a maximum number of securities?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690"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bl>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756285"/>
                <wp:effectExtent l="0" t="0" r="0" b="0"/>
                <wp:wrapNone/>
                <wp:docPr id="18" name="Frame17"/>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2</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tbl>
      <w:tblPr>
        <w:tblW w:w="10205" w:type="dxa"/>
        <w:jc w:val="left"/>
        <w:tblInd w:w="0" w:type="dxa"/>
        <w:tblLayout w:type="fixed"/>
        <w:tblCellMar>
          <w:top w:w="28" w:type="dxa"/>
          <w:left w:w="28" w:type="dxa"/>
          <w:bottom w:w="28" w:type="dxa"/>
          <w:right w:w="28" w:type="dxa"/>
        </w:tblCellMar>
      </w:tblPr>
      <w:tblGrid>
        <w:gridCol w:w="201"/>
        <w:gridCol w:w="178"/>
        <w:gridCol w:w="179"/>
        <w:gridCol w:w="1351"/>
        <w:gridCol w:w="1228"/>
        <w:gridCol w:w="1232"/>
        <w:gridCol w:w="1706"/>
        <w:gridCol w:w="1706"/>
        <w:gridCol w:w="2424"/>
      </w:tblGrid>
      <w:tr>
        <w:trPr/>
        <w:tc>
          <w:tcPr>
            <w:tcW w:w="201"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179" w:type="dxa"/>
            <w:tcBorders/>
            <w:vAlign w:val="center"/>
          </w:tcPr>
          <w:p>
            <w:pPr>
              <w:pStyle w:val="TableContents"/>
              <w:bidi w:val="0"/>
              <w:spacing w:before="0" w:after="283"/>
              <w:jc w:val="left"/>
              <w:rPr>
                <w:sz w:val="4"/>
                <w:szCs w:val="4"/>
              </w:rPr>
            </w:pPr>
            <w:r>
              <w:rPr>
                <w:sz w:val="4"/>
                <w:szCs w:val="4"/>
              </w:rPr>
            </w:r>
          </w:p>
        </w:tc>
        <w:tc>
          <w:tcPr>
            <w:tcW w:w="1351" w:type="dxa"/>
            <w:tcBorders/>
            <w:vAlign w:val="center"/>
          </w:tcPr>
          <w:p>
            <w:pPr>
              <w:pStyle w:val="TableContents"/>
              <w:bidi w:val="0"/>
              <w:spacing w:before="0" w:after="283"/>
              <w:jc w:val="left"/>
              <w:rPr>
                <w:sz w:val="4"/>
                <w:szCs w:val="4"/>
              </w:rPr>
            </w:pPr>
            <w:r>
              <w:rPr>
                <w:sz w:val="4"/>
                <w:szCs w:val="4"/>
              </w:rPr>
            </w:r>
          </w:p>
        </w:tc>
        <w:tc>
          <w:tcPr>
            <w:tcW w:w="1228" w:type="dxa"/>
            <w:tcBorders/>
            <w:vAlign w:val="center"/>
          </w:tcPr>
          <w:p>
            <w:pPr>
              <w:pStyle w:val="TableContents"/>
              <w:bidi w:val="0"/>
              <w:spacing w:before="0" w:after="283"/>
              <w:jc w:val="left"/>
              <w:rPr>
                <w:sz w:val="4"/>
                <w:szCs w:val="4"/>
              </w:rPr>
            </w:pPr>
            <w:r>
              <w:rPr>
                <w:sz w:val="4"/>
                <w:szCs w:val="4"/>
              </w:rPr>
            </w:r>
          </w:p>
        </w:tc>
        <w:tc>
          <w:tcPr>
            <w:tcW w:w="1232"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1706" w:type="dxa"/>
            <w:tcBorders/>
            <w:vAlign w:val="center"/>
          </w:tcPr>
          <w:p>
            <w:pPr>
              <w:pStyle w:val="TableContents"/>
              <w:bidi w:val="0"/>
              <w:spacing w:before="0" w:after="283"/>
              <w:jc w:val="left"/>
              <w:rPr>
                <w:sz w:val="4"/>
                <w:szCs w:val="4"/>
              </w:rPr>
            </w:pPr>
            <w:r>
              <w:rPr>
                <w:sz w:val="4"/>
                <w:szCs w:val="4"/>
              </w:rPr>
            </w:r>
          </w:p>
        </w:tc>
        <w:tc>
          <w:tcPr>
            <w:tcW w:w="2424" w:type="dxa"/>
            <w:tcBorders/>
            <w:vAlign w:val="center"/>
          </w:tcPr>
          <w:p>
            <w:pPr>
              <w:pStyle w:val="TableContents"/>
              <w:bidi w:val="0"/>
              <w:spacing w:before="0" w:after="283"/>
              <w:jc w:val="left"/>
              <w:rPr>
                <w:sz w:val="4"/>
                <w:szCs w:val="4"/>
              </w:rPr>
            </w:pPr>
            <w:r>
              <w:rPr>
                <w:sz w:val="4"/>
                <w:szCs w:val="4"/>
              </w:rPr>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3A.5a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*Maximum number of +securities proposed to be bought 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 and your response to Q 3A.5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The Company may purchase up to an aggregate of US$1 billion of Class A common stock and Class B common stock under the 2025 Repurchase Program.</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3A.6</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pPr>
            <w:r>
              <w:rPr>
                <w:rFonts w:ascii="Arial Narrow;sans-serif" w:hAnsi="Arial Narrow;sans-serif"/>
                <w:b w:val="false"/>
                <w:color w:val="000000"/>
                <w:sz w:val="20"/>
              </w:rPr>
              <w:t>*</w:t>
            </w:r>
            <w:r>
              <w:rPr>
                <w:rFonts w:ascii="Arial;sans-serif" w:hAnsi="Arial;sans-serif"/>
                <w:b w:val="false"/>
                <w:color w:val="000000"/>
                <w:sz w:val="20"/>
              </w:rPr>
              <w:t>Name of broker or brokers who will offer to buy back +securities on the entity’s behalf</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“On-market buy-back”.</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Goldman Sachs &amp; Co. LLC</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 +securities being bought back for a cash consideration?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if the securities are being bought back for nil cash consideration, answer this question “No”.</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Yes</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*Is the price to be paid for +securities bought back known?</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558"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3A.9a(i)</w:t>
            </w:r>
          </w:p>
        </w:tc>
        <w:tc>
          <w:tcPr>
            <w:tcW w:w="3811"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*In what currency will the buy-back consideration be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3A.9 is “Yes”.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all prices below are to be expressed in this currency.</w:t>
            </w:r>
          </w:p>
        </w:tc>
        <w:tc>
          <w:tcPr>
            <w:tcW w:w="5836"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USD – US Dollar</w:t>
            </w:r>
          </w:p>
        </w:tc>
      </w:tr>
      <w:tr>
        <w:trPr/>
        <w:tc>
          <w:tcPr>
            <w:tcW w:w="558"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3A.12</w:t>
            </w:r>
          </w:p>
        </w:tc>
        <w:tc>
          <w:tcPr>
            <w:tcW w:w="3811"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*Reason for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“Other buy-back”.</w:t>
            </w:r>
          </w:p>
        </w:tc>
        <w:tc>
          <w:tcPr>
            <w:tcW w:w="5836"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 enhance shareholder value</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3B – Buy-back restrictions and conditions</w:t>
      </w:r>
    </w:p>
    <w:p>
      <w:pPr>
        <w:pStyle w:val="TextBody"/>
        <w:bidi w:val="0"/>
        <w:spacing w:before="60" w:after="60"/>
        <w:jc w:val="left"/>
        <w:rPr/>
      </w:pPr>
      <w:r>
        <w:rPr/>
      </w:r>
    </w:p>
    <w:tbl>
      <w:tblPr>
        <w:tblW w:w="10205" w:type="dxa"/>
        <w:jc w:val="left"/>
        <w:tblInd w:w="0" w:type="dxa"/>
        <w:tblLayout w:type="fixed"/>
        <w:tblCellMar>
          <w:top w:w="28" w:type="dxa"/>
          <w:left w:w="28" w:type="dxa"/>
          <w:bottom w:w="28" w:type="dxa"/>
          <w:right w:w="28" w:type="dxa"/>
        </w:tblCellMar>
      </w:tblPr>
      <w:tblGrid>
        <w:gridCol w:w="179"/>
        <w:gridCol w:w="158"/>
        <w:gridCol w:w="159"/>
        <w:gridCol w:w="3158"/>
        <w:gridCol w:w="3073"/>
        <w:gridCol w:w="3083"/>
        <w:gridCol w:w="114"/>
        <w:gridCol w:w="114"/>
        <w:gridCol w:w="167"/>
      </w:tblGrid>
      <w:tr>
        <w:trPr/>
        <w:tc>
          <w:tcPr>
            <w:tcW w:w="17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9" w:type="dxa"/>
            <w:tcBorders/>
            <w:vAlign w:val="center"/>
          </w:tcPr>
          <w:p>
            <w:pPr>
              <w:pStyle w:val="TableContents"/>
              <w:bidi w:val="0"/>
              <w:spacing w:before="0" w:after="283"/>
              <w:jc w:val="left"/>
              <w:rPr>
                <w:sz w:val="4"/>
                <w:szCs w:val="4"/>
              </w:rPr>
            </w:pPr>
            <w:r>
              <w:rPr>
                <w:sz w:val="4"/>
                <w:szCs w:val="4"/>
              </w:rPr>
            </w:r>
          </w:p>
        </w:tc>
        <w:tc>
          <w:tcPr>
            <w:tcW w:w="3158" w:type="dxa"/>
            <w:tcBorders/>
            <w:vAlign w:val="center"/>
          </w:tcPr>
          <w:p>
            <w:pPr>
              <w:pStyle w:val="TableContents"/>
              <w:bidi w:val="0"/>
              <w:spacing w:before="0" w:after="283"/>
              <w:jc w:val="left"/>
              <w:rPr>
                <w:sz w:val="4"/>
                <w:szCs w:val="4"/>
              </w:rPr>
            </w:pPr>
            <w:r>
              <w:rPr>
                <w:sz w:val="4"/>
                <w:szCs w:val="4"/>
              </w:rPr>
            </w:r>
          </w:p>
        </w:tc>
        <w:tc>
          <w:tcPr>
            <w:tcW w:w="3073" w:type="dxa"/>
            <w:tcBorders/>
            <w:vAlign w:val="center"/>
          </w:tcPr>
          <w:p>
            <w:pPr>
              <w:pStyle w:val="TableContents"/>
              <w:bidi w:val="0"/>
              <w:spacing w:before="0" w:after="283"/>
              <w:jc w:val="left"/>
              <w:rPr>
                <w:sz w:val="4"/>
                <w:szCs w:val="4"/>
              </w:rPr>
            </w:pPr>
            <w:r>
              <w:rPr>
                <w:sz w:val="4"/>
                <w:szCs w:val="4"/>
              </w:rPr>
            </w:r>
          </w:p>
        </w:tc>
        <w:tc>
          <w:tcPr>
            <w:tcW w:w="3083"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3B.1</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*Does the buy-back require security holder approval?</w:t>
            </w:r>
          </w:p>
          <w:p>
            <w:pPr>
              <w:pStyle w:val="TableContents"/>
              <w:bidi w:val="0"/>
              <w:spacing w:lineRule="auto" w:line="240" w:before="60" w:after="60"/>
              <w:jc w:val="left"/>
              <w:rPr>
                <w:rFonts w:ascii="Arial;sans-serif" w:hAnsi="Arial;sans-serif"/>
                <w:b w:val="false"/>
                <w:i/>
                <w:color w:val="000000"/>
                <w:sz w:val="16"/>
                <w:shd w:fill="FFFFFF" w:val="clear"/>
              </w:rPr>
            </w:pPr>
            <w:r>
              <w:rPr>
                <w:rFonts w:ascii="Arial;sans-serif" w:hAnsi="Arial;sans-serif"/>
                <w:b w:val="false"/>
                <w:i/>
                <w:color w:val="000000"/>
                <w:sz w:val="16"/>
                <w:shd w:fill="FFFFFF" w:val="clear"/>
              </w:rPr>
              <w:t>Disregard any security holder approval that has already been obtained.</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3B.2</w:t>
            </w:r>
          </w:p>
        </w:tc>
        <w:tc>
          <w:tcPr>
            <w:tcW w:w="931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restrictions on foreign participation in the buy-back</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“Equal access scheme buy-back”, “Selective buy-back” or “Other buy-back”.</w:t>
            </w:r>
          </w:p>
        </w:tc>
        <w:tc>
          <w:tcPr>
            <w:tcW w:w="395"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r>
        <w:trPr/>
        <w:tc>
          <w:tcPr>
            <w:tcW w:w="49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3B.3</w:t>
            </w:r>
          </w:p>
        </w:tc>
        <w:tc>
          <w:tcPr>
            <w:tcW w:w="931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*Are there any other conditions that need to be satisfied before the buy-back offer becomes unconditional</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this question if your response to Q 2.1 is “Employee share scheme buy-back, “Equal access scheme buy-back”, “Selective buy-back” or “Other buy-back”</w:t>
            </w:r>
          </w:p>
        </w:tc>
        <w:tc>
          <w:tcPr>
            <w:tcW w:w="395"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No</w:t>
            </w:r>
          </w:p>
        </w:tc>
      </w:tr>
    </w:tbl>
    <w:p>
      <w:pPr>
        <w:pStyle w:val="TextBody"/>
        <w:bidi w:val="0"/>
        <w:spacing w:before="60" w:after="60"/>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3C - Key dates</w:t>
      </w:r>
    </w:p>
    <w:tbl>
      <w:tblPr>
        <w:tblW w:w="10205" w:type="dxa"/>
        <w:jc w:val="left"/>
        <w:tblInd w:w="0" w:type="dxa"/>
        <w:tblLayout w:type="fixed"/>
        <w:tblCellMar>
          <w:top w:w="28" w:type="dxa"/>
          <w:left w:w="28" w:type="dxa"/>
          <w:bottom w:w="28" w:type="dxa"/>
          <w:right w:w="28" w:type="dxa"/>
        </w:tblCellMar>
      </w:tblPr>
      <w:tblGrid>
        <w:gridCol w:w="1198"/>
        <w:gridCol w:w="1054"/>
        <w:gridCol w:w="1054"/>
        <w:gridCol w:w="1097"/>
        <w:gridCol w:w="1075"/>
        <w:gridCol w:w="1075"/>
        <w:gridCol w:w="1059"/>
        <w:gridCol w:w="1054"/>
        <w:gridCol w:w="1539"/>
      </w:tblGrid>
      <w:tr>
        <w:trPr/>
        <w:tc>
          <w:tcPr>
            <w:tcW w:w="1198"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097"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75" w:type="dxa"/>
            <w:tcBorders/>
            <w:vAlign w:val="center"/>
          </w:tcPr>
          <w:p>
            <w:pPr>
              <w:pStyle w:val="TableContents"/>
              <w:bidi w:val="0"/>
              <w:spacing w:before="0" w:after="283"/>
              <w:jc w:val="left"/>
              <w:rPr>
                <w:sz w:val="4"/>
                <w:szCs w:val="4"/>
              </w:rPr>
            </w:pPr>
            <w:r>
              <w:rPr>
                <w:sz w:val="4"/>
                <w:szCs w:val="4"/>
              </w:rPr>
            </w:r>
          </w:p>
        </w:tc>
        <w:tc>
          <w:tcPr>
            <w:tcW w:w="1059" w:type="dxa"/>
            <w:tcBorders/>
            <w:vAlign w:val="center"/>
          </w:tcPr>
          <w:p>
            <w:pPr>
              <w:pStyle w:val="TableContents"/>
              <w:bidi w:val="0"/>
              <w:spacing w:before="0" w:after="283"/>
              <w:jc w:val="left"/>
              <w:rPr>
                <w:sz w:val="4"/>
                <w:szCs w:val="4"/>
              </w:rPr>
            </w:pPr>
            <w:r>
              <w:rPr>
                <w:sz w:val="4"/>
                <w:szCs w:val="4"/>
              </w:rPr>
            </w:r>
          </w:p>
        </w:tc>
        <w:tc>
          <w:tcPr>
            <w:tcW w:w="1054" w:type="dxa"/>
            <w:tcBorders/>
            <w:vAlign w:val="center"/>
          </w:tcPr>
          <w:p>
            <w:pPr>
              <w:pStyle w:val="TableContents"/>
              <w:bidi w:val="0"/>
              <w:spacing w:before="0" w:after="283"/>
              <w:jc w:val="left"/>
              <w:rPr>
                <w:sz w:val="4"/>
                <w:szCs w:val="4"/>
              </w:rPr>
            </w:pPr>
            <w:r>
              <w:rPr>
                <w:sz w:val="4"/>
                <w:szCs w:val="4"/>
              </w:rPr>
            </w:r>
          </w:p>
        </w:tc>
        <w:tc>
          <w:tcPr>
            <w:tcW w:w="1539" w:type="dxa"/>
            <w:tcBorders/>
            <w:vAlign w:val="center"/>
          </w:tcPr>
          <w:p>
            <w:pPr>
              <w:pStyle w:val="TableContents"/>
              <w:bidi w:val="0"/>
              <w:spacing w:before="0" w:after="283"/>
              <w:jc w:val="left"/>
              <w:rPr>
                <w:sz w:val="4"/>
                <w:szCs w:val="4"/>
              </w:rPr>
            </w:pPr>
            <w:r>
              <w:rPr>
                <w:sz w:val="4"/>
                <w:szCs w:val="4"/>
              </w:rPr>
            </w:r>
          </w:p>
        </w:tc>
      </w:tr>
      <w:tr>
        <w:trPr/>
        <w:tc>
          <w:tcPr>
            <w:tcW w:w="10205" w:type="dxa"/>
            <w:gridSpan w:val="9"/>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40" w:before="60" w:after="60"/>
              <w:jc w:val="left"/>
              <w:rPr>
                <w:rFonts w:ascii="Arial;sans-serif" w:hAnsi="Arial;sans-serif"/>
                <w:b/>
                <w:color w:val="000000"/>
                <w:sz w:val="20"/>
              </w:rPr>
            </w:pPr>
            <w:r>
              <w:rPr>
                <w:rFonts w:ascii="Arial;sans-serif" w:hAnsi="Arial;sans-serif"/>
                <w:b/>
                <w:color w:val="000000"/>
                <w:sz w:val="20"/>
              </w:rPr>
              <w:t>Employee Share Scheme, Selective and Other Buy-Backs</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“Selective buy-back” or “Other buy-back”</w:t>
            </w:r>
          </w:p>
        </w:tc>
      </w:tr>
      <w:tr>
        <w:trPr/>
        <w:tc>
          <w:tcPr>
            <w:tcW w:w="3306"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3C.1</w:t>
            </w:r>
          </w:p>
        </w:tc>
        <w:tc>
          <w:tcPr>
            <w:tcW w:w="3247"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pPr>
            <w:r>
              <w:rPr>
                <w:rFonts w:ascii="Arial;sans-serif" w:hAnsi="Arial;sans-serif"/>
                <w:b/>
                <w:color w:val="000000"/>
                <w:sz w:val="20"/>
              </w:rPr>
              <w:t>*</w:t>
            </w:r>
            <w:r>
              <w:rPr>
                <w:rFonts w:ascii="Arial;sans-serif" w:hAnsi="Arial;sans-serif"/>
                <w:b w:val="false"/>
                <w:color w:val="000000"/>
                <w:sz w:val="20"/>
              </w:rPr>
              <w:t>Anticipated date buy-back will occur</w:t>
            </w:r>
          </w:p>
        </w:tc>
        <w:tc>
          <w:tcPr>
            <w:tcW w:w="3652" w:type="dxa"/>
            <w:gridSpan w:val="3"/>
            <w:tcBorders>
              <w:top w:val="single" w:sz="4" w:space="0" w:color="000000"/>
              <w:left w:val="single" w:sz="4" w:space="0" w:color="000000"/>
              <w:bottom w:val="single" w:sz="4" w:space="0" w:color="000000"/>
              <w:right w:val="single" w:sz="4" w:space="0" w:color="000000"/>
            </w:tcBorders>
            <w:tcMar>
              <w:top w:w="30" w:type="dxa"/>
              <w:left w:w="75" w:type="dxa"/>
              <w:bottom w:w="3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22/9/2021</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Part 3D – Other information</w:t>
      </w:r>
    </w:p>
    <w:tbl>
      <w:tblPr>
        <w:tblW w:w="7571" w:type="dxa"/>
        <w:jc w:val="left"/>
        <w:tblInd w:w="0" w:type="dxa"/>
        <w:tblLayout w:type="fixed"/>
        <w:tblCellMar>
          <w:top w:w="28" w:type="dxa"/>
          <w:left w:w="28" w:type="dxa"/>
          <w:bottom w:w="28" w:type="dxa"/>
          <w:right w:w="28" w:type="dxa"/>
        </w:tblCellMar>
      </w:tblPr>
      <w:tblGrid>
        <w:gridCol w:w="189"/>
        <w:gridCol w:w="167"/>
        <w:gridCol w:w="168"/>
        <w:gridCol w:w="2223"/>
        <w:gridCol w:w="2223"/>
        <w:gridCol w:w="2229"/>
        <w:gridCol w:w="109"/>
        <w:gridCol w:w="109"/>
        <w:gridCol w:w="154"/>
      </w:tblGrid>
      <w:tr>
        <w:trPr/>
        <w:tc>
          <w:tcPr>
            <w:tcW w:w="189" w:type="dxa"/>
            <w:tcBorders/>
            <w:vAlign w:val="center"/>
          </w:tcPr>
          <w:p>
            <w:pPr>
              <w:pStyle w:val="TableContents"/>
              <w:bidi w:val="0"/>
              <w:spacing w:before="0" w:after="283"/>
              <w:jc w:val="left"/>
              <w:rPr>
                <w:sz w:val="4"/>
                <w:szCs w:val="4"/>
              </w:rPr>
            </w:pPr>
            <w:r>
              <w:rPr>
                <w:sz w:val="4"/>
                <w:szCs w:val="4"/>
              </w:rPr>
            </w:r>
          </w:p>
        </w:tc>
        <w:tc>
          <w:tcPr>
            <w:tcW w:w="167" w:type="dxa"/>
            <w:tcBorders/>
            <w:vAlign w:val="center"/>
          </w:tcPr>
          <w:p>
            <w:pPr>
              <w:pStyle w:val="TableContents"/>
              <w:bidi w:val="0"/>
              <w:spacing w:before="0" w:after="283"/>
              <w:jc w:val="left"/>
              <w:rPr>
                <w:sz w:val="4"/>
                <w:szCs w:val="4"/>
              </w:rPr>
            </w:pPr>
            <w:r>
              <w:rPr>
                <w:sz w:val="4"/>
                <w:szCs w:val="4"/>
              </w:rPr>
            </w:r>
          </w:p>
        </w:tc>
        <w:tc>
          <w:tcPr>
            <w:tcW w:w="168"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3" w:type="dxa"/>
            <w:tcBorders/>
            <w:vAlign w:val="center"/>
          </w:tcPr>
          <w:p>
            <w:pPr>
              <w:pStyle w:val="TableContents"/>
              <w:bidi w:val="0"/>
              <w:spacing w:before="0" w:after="283"/>
              <w:jc w:val="left"/>
              <w:rPr>
                <w:sz w:val="4"/>
                <w:szCs w:val="4"/>
              </w:rPr>
            </w:pPr>
            <w:r>
              <w:rPr>
                <w:sz w:val="4"/>
                <w:szCs w:val="4"/>
              </w:rPr>
            </w:r>
          </w:p>
        </w:tc>
        <w:tc>
          <w:tcPr>
            <w:tcW w:w="222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524"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3D.1</w:t>
            </w:r>
          </w:p>
        </w:tc>
        <w:tc>
          <w:tcPr>
            <w:tcW w:w="6675"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Any other information the entity wishes to notify to ASX about the buy-back</w:t>
            </w:r>
          </w:p>
        </w:tc>
        <w:tc>
          <w:tcPr>
            <w:tcW w:w="372" w:type="dxa"/>
            <w:gridSpan w:val="3"/>
            <w:tcBorders>
              <w:top w:val="single" w:sz="4" w:space="0" w:color="000000"/>
              <w:left w:val="single" w:sz="4" w:space="0" w:color="000000"/>
              <w:bottom w:val="single" w:sz="4" w:space="0" w:color="000000"/>
              <w:right w:val="single" w:sz="4"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120" w:after="120"/>
        <w:ind w:left="0" w:right="0" w:hanging="1701"/>
        <w:jc w:val="left"/>
        <w:rPr/>
      </w:pPr>
      <w:r>
        <w:rPr/>
      </w:r>
    </w:p>
    <w:p>
      <w:pPr>
        <w:pStyle w:val="Normal"/>
        <w:bidi w:val="0"/>
        <w:spacing w:before="0" w:after="0"/>
        <w:jc w:val="left"/>
        <w:rPr>
          <w:sz w:val="4"/>
          <w:szCs w:val="4"/>
        </w:rPr>
      </w:pPr>
      <w:r>
        <w:rPr>
          <w:sz w:val="4"/>
          <w:szCs w:val="4"/>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756285"/>
                <wp:effectExtent l="0" t="0" r="0" b="0"/>
                <wp:wrapNone/>
                <wp:docPr id="19" name="Frame18"/>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3</w:t>
                      </w:r>
                    </w:p>
                  </w:txbxContent>
                </v:textbox>
                <w10:wrap type="none"/>
              </v:rect>
            </w:pict>
          </mc:Fallback>
        </mc:AlternateContent>
      </w:r>
    </w:p>
    <w:tbl>
      <w:tblPr>
        <w:tblW w:w="2610" w:type="dxa"/>
        <w:jc w:val="left"/>
        <w:tblInd w:w="0" w:type="dxa"/>
        <w:tblLayout w:type="fixed"/>
        <w:tblCellMar>
          <w:top w:w="28" w:type="dxa"/>
          <w:left w:w="28" w:type="dxa"/>
          <w:bottom w:w="28" w:type="dxa"/>
          <w:right w:w="28" w:type="dxa"/>
        </w:tblCellMar>
      </w:tblPr>
      <w:tblGrid>
        <w:gridCol w:w="836"/>
        <w:gridCol w:w="734"/>
        <w:gridCol w:w="1040"/>
      </w:tblGrid>
      <w:tr>
        <w:trPr/>
        <w:tc>
          <w:tcPr>
            <w:tcW w:w="836"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1040" w:type="dxa"/>
            <w:tcBorders/>
            <w:vAlign w:val="center"/>
          </w:tcPr>
          <w:p>
            <w:pPr>
              <w:pStyle w:val="TableContents"/>
              <w:bidi w:val="0"/>
              <w:spacing w:before="0" w:after="283"/>
              <w:jc w:val="left"/>
              <w:rPr>
                <w:sz w:val="4"/>
                <w:szCs w:val="4"/>
              </w:rPr>
            </w:pPr>
            <w:r>
              <w:rPr>
                <w:sz w:val="4"/>
                <w:szCs w:val="4"/>
              </w:rPr>
            </w:r>
          </w:p>
        </w:tc>
      </w:tr>
      <w:tr>
        <w:trPr/>
        <w:tc>
          <w:tcPr>
            <w:tcW w:w="2610" w:type="dxa"/>
            <w:gridSpan w:val="3"/>
            <w:tcBorders>
              <w:bottom w:val="single" w:sz="4" w:space="0" w:color="000000"/>
            </w:tcBorders>
            <w:tcMar>
              <w:top w:w="0" w:type="dxa"/>
              <w:left w:w="0" w:type="dxa"/>
              <w:bottom w:w="30" w:type="dxa"/>
              <w:right w:w="0" w:type="dxa"/>
            </w:tcMar>
            <w:vAlign w:val="center"/>
          </w:tcPr>
          <w:p>
            <w:pPr>
              <w:pStyle w:val="TableContents"/>
              <w:bidi w:val="0"/>
              <w:spacing w:lineRule="auto" w:line="240" w:before="0" w:after="0"/>
              <w:jc w:val="left"/>
              <w:rPr/>
            </w:pPr>
            <w:r>
              <w:rPr>
                <w:color w:val="FF0000"/>
              </w:rPr>
              <w:t>    </w:t>
            </w:r>
            <w:r>
              <w:rPr>
                <w:rFonts w:ascii="Arial;sans-serif" w:hAnsi="Arial;sans-serif"/>
                <w:b/>
                <w:color w:val="000000"/>
                <w:sz w:val="20"/>
              </w:rPr>
              <w:t>Appendix 3C</w:t>
            </w:r>
          </w:p>
          <w:p>
            <w:pPr>
              <w:pStyle w:val="TableContents"/>
              <w:bidi w:val="0"/>
              <w:spacing w:lineRule="auto" w:line="240" w:before="0" w:after="0"/>
              <w:jc w:val="left"/>
              <w:rPr>
                <w:color w:val="000000"/>
              </w:rPr>
            </w:pPr>
            <w:r>
              <w:rPr>
                <w:color w:val="000000"/>
              </w:rPr>
              <w:t>    </w:t>
            </w:r>
            <w:r>
              <w:rPr>
                <w:rFonts w:ascii="Arial;sans-serif" w:hAnsi="Arial;sans-serif"/>
                <w:b/>
                <w:color w:val="000000"/>
                <w:sz w:val="20"/>
              </w:rPr>
              <w:t>Notification of buy-back</w:t>
            </w:r>
          </w:p>
        </w:tc>
      </w:tr>
    </w:tbl>
    <w:p>
      <w:pPr>
        <w:pStyle w:val="TextBody"/>
        <w:bidi w:val="0"/>
        <w:spacing w:before="120" w:after="120"/>
        <w:ind w:left="0" w:right="0" w:hanging="1701"/>
        <w:jc w:val="left"/>
        <w:rPr/>
      </w:pPr>
      <w:r>
        <w:rPr/>
      </w:r>
    </w:p>
    <w:p>
      <w:pPr>
        <w:pStyle w:val="TextBody"/>
        <w:bidi w:val="0"/>
        <w:spacing w:lineRule="auto" w:line="240" w:before="120" w:after="120"/>
        <w:ind w:left="0" w:right="0" w:hanging="1701"/>
        <w:jc w:val="left"/>
        <w:rPr>
          <w:rFonts w:ascii="Arial;sans-serif" w:hAnsi="Arial;sans-serif"/>
          <w:b w:val="false"/>
          <w:color w:val="000000"/>
          <w:sz w:val="28"/>
        </w:rPr>
      </w:pPr>
      <w:r>
        <w:rPr>
          <w:rFonts w:ascii="Arial;sans-serif" w:hAnsi="Arial;sans-serif"/>
          <w:b w:val="false"/>
          <w:color w:val="000000"/>
          <w:sz w:val="28"/>
        </w:rPr>
        <w:t xml:space="preserve">Part 4 – Daily buy-back notification </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 questions in this part if your response to Q 2.1 is “Employee share scheme buy-back”, “On-market buy-back”, “Equal access share scheme buy-back” or “Other buy-back”) and you are giving a daily buy-back notification under listing rule 3.8A.</w:t>
      </w:r>
    </w:p>
    <w:p>
      <w:pPr>
        <w:pStyle w:val="TextBody"/>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 daily buy-back notification must be submitted for these types of buy-backs at least half an hour before the commencement of trading on the business day after any day on which securities are bought back (per listing rule 3.8A).</w:t>
      </w:r>
    </w:p>
    <w:tbl>
      <w:tblPr>
        <w:tblW w:w="10205" w:type="dxa"/>
        <w:jc w:val="left"/>
        <w:tblInd w:w="0" w:type="dxa"/>
        <w:tblLayout w:type="fixed"/>
        <w:tblCellMar>
          <w:top w:w="28" w:type="dxa"/>
          <w:left w:w="28" w:type="dxa"/>
          <w:bottom w:w="28" w:type="dxa"/>
          <w:right w:w="28" w:type="dxa"/>
        </w:tblCellMar>
      </w:tblPr>
      <w:tblGrid>
        <w:gridCol w:w="141"/>
        <w:gridCol w:w="124"/>
        <w:gridCol w:w="126"/>
        <w:gridCol w:w="1197"/>
        <w:gridCol w:w="687"/>
        <w:gridCol w:w="622"/>
        <w:gridCol w:w="888"/>
        <w:gridCol w:w="612"/>
        <w:gridCol w:w="354"/>
        <w:gridCol w:w="1673"/>
        <w:gridCol w:w="1673"/>
        <w:gridCol w:w="21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119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22" w:type="dxa"/>
            <w:tcBorders/>
            <w:vAlign w:val="center"/>
          </w:tcPr>
          <w:p>
            <w:pPr>
              <w:pStyle w:val="TableContents"/>
              <w:bidi w:val="0"/>
              <w:spacing w:before="0" w:after="283"/>
              <w:jc w:val="left"/>
              <w:rPr>
                <w:sz w:val="4"/>
                <w:szCs w:val="4"/>
              </w:rPr>
            </w:pPr>
            <w:r>
              <w:rPr>
                <w:sz w:val="4"/>
                <w:szCs w:val="4"/>
              </w:rPr>
            </w:r>
          </w:p>
        </w:tc>
        <w:tc>
          <w:tcPr>
            <w:tcW w:w="888"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1673" w:type="dxa"/>
            <w:tcBorders/>
            <w:vAlign w:val="center"/>
          </w:tcPr>
          <w:p>
            <w:pPr>
              <w:pStyle w:val="TableContents"/>
              <w:bidi w:val="0"/>
              <w:spacing w:before="0" w:after="283"/>
              <w:jc w:val="left"/>
              <w:rPr>
                <w:sz w:val="4"/>
                <w:szCs w:val="4"/>
              </w:rPr>
            </w:pPr>
            <w:r>
              <w:rPr>
                <w:sz w:val="4"/>
                <w:szCs w:val="4"/>
              </w:rPr>
            </w:r>
          </w:p>
        </w:tc>
        <w:tc>
          <w:tcPr>
            <w:tcW w:w="21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4.1</w:t>
            </w:r>
          </w:p>
        </w:tc>
        <w:tc>
          <w:tcPr>
            <w:tcW w:w="4360" w:type="dxa"/>
            <w:gridSpan w:val="6"/>
            <w:tcBorders>
              <w:top w:val="single" w:sz="4" w:space="0" w:color="000000"/>
              <w:bottom w:val="single" w:sz="4" w:space="0" w:color="000000"/>
            </w:tcBorders>
            <w:tcMar>
              <w:top w:w="30" w:type="dxa"/>
              <w:left w:w="0"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*Date of this notification</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13/10/2026</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4.2</w:t>
            </w:r>
          </w:p>
        </w:tc>
        <w:tc>
          <w:tcPr>
            <w:tcW w:w="4360" w:type="dxa"/>
            <w:gridSpan w:val="6"/>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*Previous day on which +securities were bought back</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12/10/2026</w:t>
            </w:r>
          </w:p>
        </w:tc>
      </w:tr>
      <w:tr>
        <w:trPr/>
        <w:tc>
          <w:tcPr>
            <w:tcW w:w="391"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2506" w:type="dxa"/>
            <w:gridSpan w:val="3"/>
            <w:tcBorders>
              <w:top w:val="single" w:sz="4" w:space="0" w:color="000000"/>
              <w:left w:val="single" w:sz="4" w:space="0" w:color="000000"/>
            </w:tcBorders>
            <w:tcMar>
              <w:bottom w:w="0" w:type="dxa"/>
              <w:right w:w="0" w:type="dxa"/>
            </w:tcMar>
            <w:vAlign w:val="center"/>
          </w:tcPr>
          <w:p>
            <w:pPr>
              <w:pStyle w:val="TableContents"/>
              <w:bidi w:val="0"/>
              <w:spacing w:before="0" w:after="283"/>
              <w:jc w:val="left"/>
              <w:rPr>
                <w:sz w:val="4"/>
                <w:szCs w:val="4"/>
              </w:rPr>
            </w:pPr>
            <w:r>
              <w:rPr>
                <w:sz w:val="4"/>
                <w:szCs w:val="4"/>
              </w:rPr>
            </w:r>
          </w:p>
        </w:tc>
        <w:tc>
          <w:tcPr>
            <w:tcW w:w="1854"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Before previous day</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color w:val="000000"/>
                <w:sz w:val="20"/>
              </w:rPr>
            </w:pPr>
            <w:r>
              <w:rPr>
                <w:rFonts w:ascii="Arial;sans-serif" w:hAnsi="Arial;sans-serif"/>
                <w:b/>
                <w:color w:val="000000"/>
                <w:sz w:val="20"/>
              </w:rPr>
              <w:t>On previous day</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4.3</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number of +securities bought back, or in relation to which acceptances have been received</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6,070,989</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25,457</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4.4</w:t>
            </w:r>
          </w:p>
        </w:tc>
        <w:tc>
          <w:tcPr>
            <w:tcW w:w="2506"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*Total consideration paid or payable for the +securities</w:t>
            </w:r>
          </w:p>
        </w:tc>
        <w:tc>
          <w:tcPr>
            <w:tcW w:w="1854" w:type="dxa"/>
            <w:gridSpan w:val="3"/>
            <w:tcBorders>
              <w:top w:val="single" w:sz="4" w:space="0" w:color="000000"/>
              <w:left w:val="single" w:sz="4" w:space="0" w:color="000000"/>
            </w:tcBorders>
            <w:tcMar>
              <w:top w:w="30" w:type="dxa"/>
              <w:left w:w="11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US$180,486,886.43 </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 xml:space="preserve">US$823,673.96 </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4.5</w:t>
            </w:r>
          </w:p>
        </w:tc>
        <w:tc>
          <w:tcPr>
            <w:tcW w:w="2506"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*Highest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tcBorders>
            <w:tcMar>
              <w:top w:w="30" w:type="dxa"/>
              <w:bottom w:w="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US$35.69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highest price was paid: 27/08/2026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US$32.50</w:t>
            </w:r>
          </w:p>
        </w:tc>
      </w:tr>
      <w:tr>
        <w:trPr/>
        <w:tc>
          <w:tcPr>
            <w:tcW w:w="391" w:type="dxa"/>
            <w:gridSpan w:val="3"/>
            <w:tcBorders>
              <w:top w:val="single" w:sz="4" w:space="0" w:color="000000"/>
              <w:left w:val="single" w:sz="4" w:space="0" w:color="000000"/>
            </w:tcBorders>
            <w:tcMar>
              <w:top w:w="30" w:type="dxa"/>
              <w:left w:w="75"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4.6</w:t>
            </w:r>
          </w:p>
        </w:tc>
        <w:tc>
          <w:tcPr>
            <w:tcW w:w="2506"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*Lowest price paid</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Answer these questions if your response to Q 2.1 is “On-market buy-back”.</w:t>
            </w:r>
          </w:p>
        </w:tc>
        <w:tc>
          <w:tcPr>
            <w:tcW w:w="1854" w:type="dxa"/>
            <w:gridSpan w:val="3"/>
            <w:tcBorders>
              <w:top w:val="single" w:sz="4" w:space="0" w:color="000000"/>
              <w:left w:val="single" w:sz="4" w:space="0" w:color="000000"/>
              <w:bottom w:val="single" w:sz="4" w:space="0" w:color="000000"/>
            </w:tcBorders>
            <w:tcMar>
              <w:top w:w="3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US$25.49</w:t>
            </w:r>
          </w:p>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*Date lowest price was paid: 13/02/2026</w:t>
            </w:r>
          </w:p>
        </w:tc>
        <w:tc>
          <w:tcPr>
            <w:tcW w:w="5454" w:type="dxa"/>
            <w:gridSpan w:val="3"/>
            <w:tcBorders>
              <w:top w:val="single" w:sz="4" w:space="0" w:color="000000"/>
              <w:left w:val="single" w:sz="4" w:space="0" w:color="000000"/>
              <w:right w:val="single" w:sz="4" w:space="0" w:color="000000"/>
            </w:tcBorders>
            <w:tcMar>
              <w:top w:w="30" w:type="dxa"/>
              <w:left w:w="75" w:type="dxa"/>
              <w:bottom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US$32.07</w:t>
            </w:r>
          </w:p>
        </w:tc>
      </w:tr>
      <w:tr>
        <w:trPr/>
        <w:tc>
          <w:tcPr>
            <w:tcW w:w="391" w:type="dxa"/>
            <w:gridSpan w:val="3"/>
            <w:tcBorders>
              <w:top w:val="single" w:sz="4" w:space="0" w:color="000000"/>
              <w:left w:val="single" w:sz="4" w:space="0" w:color="000000"/>
              <w:bottom w:val="single" w:sz="4" w:space="0" w:color="000000"/>
            </w:tcBorders>
            <w:tcMar>
              <w:top w:w="30" w:type="dxa"/>
              <w:left w:w="75" w:type="dxa"/>
              <w:bottom w:w="30" w:type="dxa"/>
              <w:right w:w="0" w:type="dxa"/>
            </w:tcMar>
            <w:vAlign w:val="center"/>
          </w:tcPr>
          <w:p>
            <w:pPr>
              <w:pStyle w:val="TableContents"/>
              <w:bidi w:val="0"/>
              <w:spacing w:lineRule="auto" w:line="240" w:before="0" w:after="283"/>
              <w:jc w:val="left"/>
              <w:rPr>
                <w:rFonts w:ascii="Arial;sans-serif" w:hAnsi="Arial;sans-serif"/>
                <w:b w:val="false"/>
                <w:color w:val="000000"/>
                <w:sz w:val="20"/>
              </w:rPr>
            </w:pPr>
            <w:r>
              <w:rPr>
                <w:rFonts w:ascii="Arial;sans-serif" w:hAnsi="Arial;sans-serif"/>
                <w:b w:val="false"/>
                <w:color w:val="000000"/>
                <w:sz w:val="20"/>
              </w:rPr>
              <w:t>4.8</w:t>
            </w:r>
          </w:p>
        </w:tc>
        <w:tc>
          <w:tcPr>
            <w:tcW w:w="4360" w:type="dxa"/>
            <w:gridSpan w:val="6"/>
            <w:tcBorders>
              <w:left w:val="single" w:sz="4" w:space="0" w:color="000000"/>
              <w:bottom w:val="single" w:sz="4" w:space="0" w:color="000000"/>
            </w:tcBorders>
            <w:tcMar>
              <w:top w:w="0" w:type="dxa"/>
              <w:bottom w:w="30" w:type="dxa"/>
              <w:right w:w="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*If the entity has disclosed an intention to buy back a maximum number of +securities, the remaining number of +securities to be bought back as at the end of the previous day</w:t>
            </w:r>
          </w:p>
          <w:p>
            <w:pPr>
              <w:pStyle w:val="TableContents"/>
              <w:bidi w:val="0"/>
              <w:spacing w:lineRule="auto" w:line="240" w:before="60" w:after="60"/>
              <w:jc w:val="left"/>
              <w:rPr>
                <w:rFonts w:ascii="Arial;sans-serif" w:hAnsi="Arial;sans-serif"/>
                <w:b w:val="false"/>
                <w:i/>
                <w:color w:val="000000"/>
                <w:sz w:val="16"/>
              </w:rPr>
            </w:pPr>
            <w:r>
              <w:rPr>
                <w:rFonts w:ascii="Arial;sans-serif" w:hAnsi="Arial;sans-serif"/>
                <w:b w:val="false"/>
                <w:i/>
                <w:color w:val="000000"/>
                <w:sz w:val="16"/>
              </w:rPr>
              <w:t>Note: ASX has calculated this number for you based on previous notifications. If it is not correct, please amend it to the correct number and consider whether any updates need to be made to previous notifications.</w:t>
            </w:r>
          </w:p>
        </w:tc>
        <w:tc>
          <w:tcPr>
            <w:tcW w:w="545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40" w:before="60" w:after="60"/>
              <w:jc w:val="left"/>
              <w:rPr>
                <w:rFonts w:ascii="Arial;sans-serif" w:hAnsi="Arial;sans-serif"/>
                <w:b w:val="false"/>
                <w:color w:val="000000"/>
                <w:sz w:val="20"/>
              </w:rPr>
            </w:pPr>
            <w:r>
              <w:rPr>
                <w:rFonts w:ascii="Arial;sans-serif" w:hAnsi="Arial;sans-serif"/>
                <w:b w:val="false"/>
                <w:color w:val="000000"/>
                <w:sz w:val="20"/>
              </w:rPr>
              <w:t>The company is authorized to acquire up to an aggregate of US$1 billion of the Company’s Nasdaq-listed Class A common stock and Class B common stock under the 2025 Repurchase Program. To date, the company has purchased approximately US$527,782,438 worth of Class A and Class B shares (based on total consideration paid) under the 2025 Repurchase Program.</w:t>
            </w:r>
          </w:p>
        </w:tc>
      </w:tr>
    </w:tbl>
    <w:p>
      <w:pPr>
        <w:pStyle w:val="TextBody"/>
        <w:bidi w:val="0"/>
        <w:spacing w:before="60" w:after="60"/>
        <w:jc w:val="left"/>
        <w:rPr/>
      </w:pPr>
      <w:r>
        <w:rPr/>
      </w:r>
    </w:p>
    <w:p>
      <w:pPr>
        <w:pStyle w:val="TextBody"/>
        <w:bidi w:val="0"/>
        <w:spacing w:lineRule="auto" w:line="240" w:before="60" w:after="60"/>
        <w:jc w:val="left"/>
        <w:rPr>
          <w:rFonts w:ascii="Arial;sans-serif" w:hAnsi="Arial;sans-serif"/>
          <w:b w:val="false"/>
          <w:color w:val="000000"/>
          <w:sz w:val="16"/>
        </w:rPr>
      </w:pPr>
      <w:r>
        <w:rPr>
          <w:rFonts w:ascii="Arial;sans-serif" w:hAnsi="Arial;sans-serif"/>
          <w:b w:val="false"/>
          <w:color w:val="000000"/>
          <w:sz w:val="16"/>
        </w:rPr>
        <w:t>Introduced 05/06/21</w:t>
      </w:r>
    </w:p>
    <w:p>
      <w:pPr>
        <w:pStyle w:val="TextBody"/>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756285"/>
                <wp:effectExtent l="0" t="0" r="0" b="0"/>
                <wp:wrapNone/>
                <wp:docPr id="20" name="Frame19"/>
                <a:graphic xmlns:a="http://schemas.openxmlformats.org/drawingml/2006/main">
                  <a:graphicData uri="http://schemas.microsoft.com/office/word/2010/wordprocessingShape">
                    <wps:wsp>
                      <wps:cNvSpPr txBox="1"/>
                      <wps:spPr>
                        <a:xfrm>
                          <a:off x="0" y="0"/>
                          <a:ext cx="6480175" cy="756285"/>
                        </a:xfrm>
                        <a:prstGeom prst="rect"/>
                        <a:solidFill>
                          <a:srgbClr val="FFFFFF"/>
                        </a:solidFill>
                      </wps:spPr>
                      <wps:txb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r>
                                    <w:br w:type="page"/>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59.55pt;mso-wrap-distance-left:0pt;mso-wrap-distance-right:0pt;mso-wrap-distance-top:0pt;mso-wrap-distance-bottom:0pt;margin-top:0pt;mso-position-vertical:top;mso-position-vertical-relative:text;margin-left:0pt;mso-position-horizontal:left;mso-position-horizontal-relative:text">
                <v:textbox>
                  <w:txbxContent>
                    <w:tbl>
                      <w:tblPr>
                        <w:tblW w:w="2970" w:type="dxa"/>
                        <w:jc w:val="left"/>
                        <w:tblInd w:w="0" w:type="dxa"/>
                        <w:tblLayout w:type="fixed"/>
                        <w:tblCellMar>
                          <w:top w:w="28" w:type="dxa"/>
                          <w:left w:w="28" w:type="dxa"/>
                          <w:bottom w:w="28" w:type="dxa"/>
                          <w:right w:w="28" w:type="dxa"/>
                        </w:tblCellMar>
                      </w:tblPr>
                      <w:tblGrid>
                        <w:gridCol w:w="951"/>
                        <w:gridCol w:w="833"/>
                        <w:gridCol w:w="1186"/>
                      </w:tblGrid>
                      <w:tr>
                        <w:trPr/>
                        <w:tc>
                          <w:tcPr>
                            <w:tcW w:w="951"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1186" w:type="dxa"/>
                            <w:tcBorders/>
                            <w:vAlign w:val="center"/>
                          </w:tcPr>
                          <w:p>
                            <w:pPr>
                              <w:pStyle w:val="TableContents"/>
                              <w:bidi w:val="0"/>
                              <w:spacing w:before="0" w:after="283"/>
                              <w:jc w:val="left"/>
                              <w:rPr>
                                <w:sz w:val="4"/>
                                <w:szCs w:val="4"/>
                              </w:rPr>
                            </w:pPr>
                            <w:r>
                              <w:rPr>
                                <w:sz w:val="4"/>
                                <w:szCs w:val="4"/>
                              </w:rPr>
                            </w:r>
                          </w:p>
                        </w:tc>
                      </w:tr>
                      <w:tr>
                        <w:trPr/>
                        <w:tc>
                          <w:tcPr>
                            <w:tcW w:w="2970" w:type="dxa"/>
                            <w:gridSpan w:val="3"/>
                            <w:tcBorders>
                              <w:top w:val="single" w:sz="4"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Arial;sans-serif" w:hAnsi="Arial;sans-serif"/>
                                <w:b w:val="false"/>
                                <w:color w:val="000000"/>
                                <w:sz w:val="18"/>
                              </w:rPr>
                            </w:pPr>
                            <w:r>
                              <w:rPr>
                                <w:rFonts w:ascii="Arial;sans-serif" w:hAnsi="Arial;sans-serif"/>
                                <w:b w:val="false"/>
                                <w:color w:val="000000"/>
                                <w:sz w:val="18"/>
                              </w:rPr>
                              <w:t>+ See chapter 19 for defined terms</w:t>
                            </w:r>
                          </w:p>
                        </w:tc>
                      </w:tr>
                    </w:tbl>
                    <w:p>
                      <w:pPr>
                        <w:pStyle w:val="TextBody"/>
                        <w:bidi w:val="0"/>
                        <w:spacing w:lineRule="auto" w:line="240" w:before="0" w:after="0"/>
                        <w:jc w:val="left"/>
                        <w:rPr/>
                      </w:pPr>
                      <w:r>
                        <w:rPr>
                          <w:rFonts w:ascii="Arial;sans-serif" w:hAnsi="Arial;sans-serif"/>
                          <w:b w:val="false"/>
                          <w:i/>
                          <w:color w:val="000000"/>
                          <w:sz w:val="18"/>
                        </w:rPr>
                        <w:t>5 June 2021</w:t>
                      </w:r>
                      <w:r>
                        <w:rPr>
                          <w:color w:val="000000"/>
                        </w:rPr>
                        <w:t>        </w:t>
                      </w:r>
                      <w:r>
                        <w:rPr>
                          <w:rFonts w:ascii="Arial;sans-serif" w:hAnsi="Arial;sans-serif"/>
                          <w:b w:val="false"/>
                          <w:color w:val="000000"/>
                          <w:sz w:val="18"/>
                        </w:rPr>
                        <w:t>Page 4</w:t>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Arial">
    <w:altName w:val="sans-serif"/>
    <w:charset w:val="01"/>
    <w:family w:val="auto"/>
    <w:pitch w:val="default"/>
  </w:font>
  <w:font w:name="Arial Narrow">
    <w:altName w:val="sans-serif"/>
    <w:charset w:val="01"/>
    <w:family w:val="auto"/>
    <w:pitch w:val="default"/>
  </w:font>
  <w:font w:name="Helvetica">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fontTable" Target="fontTable.xml"/><Relationship Id="rId4"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17</Pages>
  <Words>6369</Words>
  <Characters>33430</Characters>
  <CharactersWithSpaces>39281</CharactersWithSpaces>
  <Paragraphs>798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