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2"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001-35769</w:t>
      </w:r>
    </w:p>
    <w:p>
      <w:pPr>
        <w:spacing w:after="0" w:line="1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80645</wp:posOffset>
            </wp:positionV>
            <wp:extent cx="198882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NEWS CORPORATION</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p>
      <w:pPr>
        <w:spacing w:after="0" w:line="151"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00" w:type="dxa"/>
            <w:vAlign w:val="bottom"/>
            <w:gridSpan w:val="2"/>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46-2950970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820" w:type="dxa"/>
            <w:vAlign w:val="bottom"/>
            <w:gridSpan w:val="6"/>
          </w:tcPr>
          <w:p>
            <w:pPr>
              <w:jc w:val="center"/>
              <w:ind w:right="31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28"/>
        </w:trPr>
        <w:tc>
          <w:tcPr>
            <w:tcW w:w="6820" w:type="dxa"/>
            <w:vAlign w:val="bottom"/>
            <w:gridSpan w:val="6"/>
          </w:tcPr>
          <w:p>
            <w:pPr>
              <w:jc w:val="center"/>
              <w:ind w:right="3100"/>
              <w:spacing w:after="0"/>
              <w:rPr>
                <w:sz w:val="20"/>
                <w:szCs w:val="20"/>
                <w:color w:val="auto"/>
              </w:rPr>
            </w:pPr>
            <w:r>
              <w:rPr>
                <w:rFonts w:ascii="Times New Roman" w:cs="Times New Roman" w:eastAsia="Times New Roman" w:hAnsi="Times New Roman"/>
                <w:sz w:val="16"/>
                <w:szCs w:val="16"/>
                <w:b w:val="1"/>
                <w:bCs w:val="1"/>
                <w:color w:val="auto"/>
                <w:w w:val="99"/>
              </w:rPr>
              <w:t>1211 Avenue of the Americas, New York, New York</w:t>
            </w:r>
          </w:p>
        </w:tc>
        <w:tc>
          <w:tcPr>
            <w:tcW w:w="2100" w:type="dxa"/>
            <w:vAlign w:val="bottom"/>
            <w:gridSpan w:val="2"/>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10036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080" w:type="dxa"/>
            <w:vAlign w:val="bottom"/>
            <w:gridSpan w:val="3"/>
          </w:tcPr>
          <w:p>
            <w:pPr>
              <w:jc w:val="center"/>
              <w:ind w:left="56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740" w:type="dxa"/>
            <w:vAlign w:val="bottom"/>
            <w:gridSpan w:val="3"/>
          </w:tcPr>
          <w:p>
            <w:pPr>
              <w:jc w:val="right"/>
              <w:ind w:right="1260"/>
              <w:spacing w:after="0"/>
              <w:rPr>
                <w:sz w:val="20"/>
                <w:szCs w:val="20"/>
                <w:color w:val="auto"/>
              </w:rPr>
            </w:pPr>
            <w:r>
              <w:rPr>
                <w:rFonts w:ascii="Times New Roman" w:cs="Times New Roman" w:eastAsia="Times New Roman" w:hAnsi="Times New Roman"/>
                <w:sz w:val="16"/>
                <w:szCs w:val="16"/>
                <w:b w:val="1"/>
                <w:bCs w:val="1"/>
                <w:color w:val="auto"/>
              </w:rPr>
              <w:t>(212) 416-3400</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740" w:type="dxa"/>
            <w:vAlign w:val="bottom"/>
            <w:gridSpan w:val="3"/>
          </w:tcPr>
          <w:p>
            <w:pPr>
              <w:jc w:val="right"/>
              <w:ind w:right="8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tc>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40" w:type="dxa"/>
            <w:vAlign w:val="bottom"/>
            <w:vMerge w:val="restart"/>
          </w:tcPr>
          <w:p>
            <w:pPr>
              <w:spacing w:after="0"/>
              <w:rPr>
                <w:sz w:val="23"/>
                <w:szCs w:val="23"/>
                <w:color w:val="auto"/>
              </w:rPr>
            </w:pPr>
          </w:p>
        </w:tc>
        <w:tc>
          <w:tcPr>
            <w:tcW w:w="1660" w:type="dxa"/>
            <w:vAlign w:val="bottom"/>
          </w:tcPr>
          <w:p>
            <w:pPr>
              <w:spacing w:after="0"/>
              <w:rPr>
                <w:sz w:val="23"/>
                <w:szCs w:val="23"/>
                <w:color w:val="auto"/>
              </w:rPr>
            </w:pPr>
          </w:p>
        </w:tc>
        <w:tc>
          <w:tcPr>
            <w:tcW w:w="2080" w:type="dxa"/>
            <w:vAlign w:val="bottom"/>
            <w:gridSpan w:val="2"/>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480" w:type="dxa"/>
            <w:vAlign w:val="bottom"/>
            <w:gridSpan w:val="3"/>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gridSpan w:val="2"/>
          </w:tcPr>
          <w:p>
            <w:pPr>
              <w:jc w:val="center"/>
              <w:ind w:right="1460"/>
              <w:spacing w:after="0" w:line="149" w:lineRule="exact"/>
              <w:rPr>
                <w:sz w:val="20"/>
                <w:szCs w:val="20"/>
                <w:color w:val="auto"/>
              </w:rPr>
            </w:pPr>
            <w:r>
              <w:rPr>
                <w:rFonts w:ascii="Times New Roman" w:cs="Times New Roman" w:eastAsia="Times New Roman" w:hAnsi="Times New Roman"/>
                <w:sz w:val="14"/>
                <w:szCs w:val="14"/>
                <w:b w:val="1"/>
                <w:bCs w:val="1"/>
                <w:color w:val="auto"/>
              </w:rPr>
              <w:t>Symbol(s)</w:t>
            </w:r>
          </w:p>
        </w:tc>
        <w:tc>
          <w:tcPr>
            <w:tcW w:w="90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80" w:type="dxa"/>
            <w:vAlign w:val="bottom"/>
            <w:gridSpan w:val="3"/>
          </w:tcPr>
          <w:p>
            <w:pPr>
              <w:jc w:val="center"/>
              <w:ind w:left="46"/>
              <w:spacing w:after="0"/>
              <w:rPr>
                <w:sz w:val="20"/>
                <w:szCs w:val="20"/>
                <w:color w:val="auto"/>
              </w:rPr>
            </w:pPr>
            <w:r>
              <w:rPr>
                <w:rFonts w:ascii="Times New Roman" w:cs="Times New Roman" w:eastAsia="Times New Roman" w:hAnsi="Times New Roman"/>
                <w:sz w:val="14"/>
                <w:szCs w:val="14"/>
                <w:color w:val="auto"/>
              </w:rPr>
              <w:t>Class A Common Stock, par value $0.01 per share</w:t>
            </w:r>
          </w:p>
        </w:tc>
        <w:tc>
          <w:tcPr>
            <w:tcW w:w="1660" w:type="dxa"/>
            <w:vAlign w:val="bottom"/>
          </w:tcPr>
          <w:p>
            <w:pPr>
              <w:spacing w:after="0"/>
              <w:rPr>
                <w:sz w:val="18"/>
                <w:szCs w:val="18"/>
                <w:color w:val="auto"/>
              </w:rPr>
            </w:pPr>
          </w:p>
        </w:tc>
        <w:tc>
          <w:tcPr>
            <w:tcW w:w="208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NWSA</w:t>
            </w:r>
          </w:p>
        </w:tc>
        <w:tc>
          <w:tcPr>
            <w:tcW w:w="2480" w:type="dxa"/>
            <w:vAlign w:val="bottom"/>
            <w:gridSpan w:val="3"/>
          </w:tcPr>
          <w:p>
            <w:pPr>
              <w:jc w:val="center"/>
              <w:ind w:left="445"/>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203"/>
        </w:trPr>
        <w:tc>
          <w:tcPr>
            <w:tcW w:w="3080" w:type="dxa"/>
            <w:vAlign w:val="bottom"/>
            <w:gridSpan w:val="3"/>
          </w:tcPr>
          <w:p>
            <w:pPr>
              <w:jc w:val="center"/>
              <w:ind w:left="26"/>
              <w:spacing w:after="0"/>
              <w:rPr>
                <w:sz w:val="20"/>
                <w:szCs w:val="20"/>
                <w:color w:val="auto"/>
              </w:rPr>
            </w:pPr>
            <w:r>
              <w:rPr>
                <w:rFonts w:ascii="Times New Roman" w:cs="Times New Roman" w:eastAsia="Times New Roman" w:hAnsi="Times New Roman"/>
                <w:sz w:val="14"/>
                <w:szCs w:val="14"/>
                <w:color w:val="auto"/>
              </w:rPr>
              <w:t>Class B Common Stock, par value $0.01 per share</w:t>
            </w:r>
          </w:p>
        </w:tc>
        <w:tc>
          <w:tcPr>
            <w:tcW w:w="1660" w:type="dxa"/>
            <w:vAlign w:val="bottom"/>
          </w:tcPr>
          <w:p>
            <w:pPr>
              <w:spacing w:after="0"/>
              <w:rPr>
                <w:sz w:val="17"/>
                <w:szCs w:val="17"/>
                <w:color w:val="auto"/>
              </w:rPr>
            </w:pPr>
          </w:p>
        </w:tc>
        <w:tc>
          <w:tcPr>
            <w:tcW w:w="2080" w:type="dxa"/>
            <w:vAlign w:val="bottom"/>
            <w:gridSpan w:val="2"/>
          </w:tcPr>
          <w:p>
            <w:pPr>
              <w:jc w:val="center"/>
              <w:ind w:right="1440"/>
              <w:spacing w:after="0"/>
              <w:rPr>
                <w:sz w:val="20"/>
                <w:szCs w:val="20"/>
                <w:color w:val="auto"/>
              </w:rPr>
            </w:pPr>
            <w:r>
              <w:rPr>
                <w:rFonts w:ascii="Times New Roman" w:cs="Times New Roman" w:eastAsia="Times New Roman" w:hAnsi="Times New Roman"/>
                <w:sz w:val="14"/>
                <w:szCs w:val="14"/>
                <w:color w:val="auto"/>
              </w:rPr>
              <w:t>NWS</w:t>
            </w:r>
          </w:p>
        </w:tc>
        <w:tc>
          <w:tcPr>
            <w:tcW w:w="2480" w:type="dxa"/>
            <w:vAlign w:val="bottom"/>
            <w:gridSpan w:val="3"/>
          </w:tcPr>
          <w:p>
            <w:pPr>
              <w:jc w:val="center"/>
              <w:ind w:left="445"/>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3" w:lineRule="exact"/>
        <w:rPr>
          <w:sz w:val="24"/>
          <w:szCs w:val="24"/>
          <w:color w:val="auto"/>
        </w:rPr>
      </w:pPr>
    </w:p>
    <w:p>
      <w:pPr>
        <w:ind w:right="4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6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00" w:firstLine="324"/>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468" w:right="359" w:bottom="1440" w:gutter="0" w:footer="0" w:header="0"/>
        </w:sectPr>
      </w:pPr>
    </w:p>
    <w:p>
      <w:pPr>
        <w:spacing w:after="0" w:line="184" w:lineRule="exact"/>
        <w:rPr>
          <w:sz w:val="24"/>
          <w:szCs w:val="24"/>
          <w:color w:val="auto"/>
        </w:rPr>
      </w:pPr>
    </w:p>
    <w:p>
      <w:pPr>
        <w:ind w:left="20"/>
        <w:spacing w:after="0" w:line="161" w:lineRule="exact"/>
        <w:tabs>
          <w:tab w:leader="none" w:pos="2100" w:val="left"/>
          <w:tab w:leader="none" w:pos="81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50" w:lineRule="exact"/>
        <w:rPr>
          <w:sz w:val="24"/>
          <w:szCs w:val="24"/>
          <w:color w:val="auto"/>
        </w:rPr>
      </w:pPr>
    </w:p>
    <w:p>
      <w:pPr>
        <w:ind w:left="20"/>
        <w:spacing w:after="0" w:line="161" w:lineRule="exact"/>
        <w:tabs>
          <w:tab w:leader="none" w:pos="2100" w:val="left"/>
          <w:tab w:leader="none" w:pos="814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67"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09" w:lineRule="exact"/>
        <w:rPr>
          <w:sz w:val="24"/>
          <w:szCs w:val="24"/>
          <w:color w:val="auto"/>
        </w:rPr>
      </w:pPr>
    </w:p>
    <w:p>
      <w:pPr>
        <w:ind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October 30, 2026, 358,254,762 shares of Class A Common Stock and 178,920,372 shares of Class B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1000" w:space="80"/>
            <w:col w:w="140"/>
          </w:cols>
          <w:pgMar w:left="320" w:top="46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2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20" w:type="dxa"/>
            <w:vAlign w:val="bottom"/>
          </w:tcPr>
          <w:p>
            <w:pPr>
              <w:spacing w:after="0"/>
              <w:rPr>
                <w:sz w:val="20"/>
                <w:szCs w:val="20"/>
                <w:color w:val="auto"/>
              </w:rPr>
            </w:pPr>
          </w:p>
        </w:tc>
      </w:tr>
      <w:tr>
        <w:trPr>
          <w:trHeight w:val="783"/>
        </w:trPr>
        <w:tc>
          <w:tcPr>
            <w:tcW w:w="10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NEWS CORPORATION</w:t>
            </w:r>
          </w:p>
        </w:tc>
        <w:tc>
          <w:tcPr>
            <w:tcW w:w="820" w:type="dxa"/>
            <w:vAlign w:val="bottom"/>
          </w:tcPr>
          <w:p>
            <w:pPr>
              <w:spacing w:after="0"/>
              <w:rPr>
                <w:sz w:val="24"/>
                <w:szCs w:val="24"/>
                <w:color w:val="auto"/>
              </w:rPr>
            </w:pPr>
          </w:p>
        </w:tc>
      </w:tr>
      <w:tr>
        <w:trPr>
          <w:trHeight w:val="410"/>
        </w:trPr>
        <w:tc>
          <w:tcPr>
            <w:tcW w:w="1042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20" w:type="dxa"/>
            <w:vAlign w:val="bottom"/>
          </w:tcPr>
          <w:p>
            <w:pPr>
              <w:spacing w:after="0"/>
              <w:rPr>
                <w:sz w:val="24"/>
                <w:szCs w:val="24"/>
                <w:color w:val="auto"/>
              </w:rPr>
            </w:pPr>
          </w:p>
        </w:tc>
      </w:tr>
      <w:tr>
        <w:trPr>
          <w:trHeight w:val="238"/>
        </w:trPr>
        <w:tc>
          <w:tcPr>
            <w:tcW w:w="10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20" w:type="dxa"/>
            <w:vAlign w:val="bottom"/>
          </w:tcPr>
          <w:p>
            <w:pPr>
              <w:spacing w:after="0"/>
              <w:rPr>
                <w:sz w:val="20"/>
                <w:szCs w:val="20"/>
                <w:color w:val="auto"/>
              </w:rPr>
            </w:pPr>
          </w:p>
        </w:tc>
      </w:tr>
      <w:tr>
        <w:trPr>
          <w:trHeight w:val="473"/>
        </w:trPr>
        <w:tc>
          <w:tcPr>
            <w:tcW w:w="10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Page</w:t>
            </w:r>
          </w:p>
        </w:tc>
      </w:tr>
      <w:tr>
        <w:trPr>
          <w:trHeight w:val="270"/>
        </w:trPr>
        <w:tc>
          <w:tcPr>
            <w:tcW w:w="104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820" w:type="dxa"/>
            <w:vAlign w:val="bottom"/>
          </w:tcPr>
          <w:p>
            <w:pPr>
              <w:spacing w:after="0"/>
              <w:rPr>
                <w:sz w:val="23"/>
                <w:szCs w:val="23"/>
                <w:color w:val="auto"/>
              </w:rPr>
            </w:pP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820" w:type="dxa"/>
            <w:vAlign w:val="bottom"/>
          </w:tcPr>
          <w:p>
            <w:pPr>
              <w:spacing w:after="0"/>
              <w:rPr>
                <w:sz w:val="23"/>
                <w:szCs w:val="23"/>
                <w:color w:val="auto"/>
              </w:rPr>
            </w:pPr>
          </w:p>
        </w:tc>
      </w:tr>
      <w:tr>
        <w:trPr>
          <w:trHeight w:val="270"/>
        </w:trPr>
        <w:tc>
          <w:tcPr>
            <w:tcW w:w="10420" w:type="dxa"/>
            <w:vAlign w:val="bottom"/>
          </w:tcPr>
          <w:p>
            <w:pPr>
              <w:ind w:left="680"/>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September 30, 2026 and 2025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70"/>
        </w:trPr>
        <w:tc>
          <w:tcPr>
            <w:tcW w:w="10420" w:type="dxa"/>
            <w:vAlign w:val="bottom"/>
          </w:tcPr>
          <w:p>
            <w:pPr>
              <w:ind w:left="680"/>
              <w:spacing w:after="0"/>
              <w:rPr>
                <w:sz w:val="20"/>
                <w:szCs w:val="20"/>
                <w:color w:val="auto"/>
              </w:rPr>
            </w:pPr>
            <w:r>
              <w:rPr>
                <w:rFonts w:ascii="Times New Roman" w:cs="Times New Roman" w:eastAsia="Times New Roman" w:hAnsi="Times New Roman"/>
                <w:sz w:val="18"/>
                <w:szCs w:val="18"/>
                <w:color w:val="0000FF"/>
              </w:rPr>
              <w:t xml:space="preserve">Consolidated Statements of Comprehensive Income (Loss) </w:t>
            </w:r>
            <w:r>
              <w:rPr>
                <w:rFonts w:ascii="Times New Roman" w:cs="Times New Roman" w:eastAsia="Times New Roman" w:hAnsi="Times New Roman"/>
                <w:sz w:val="18"/>
                <w:szCs w:val="18"/>
                <w:color w:val="3051F2"/>
              </w:rPr>
              <w:t>fo</w:t>
            </w:r>
            <w:r>
              <w:rPr>
                <w:rFonts w:ascii="Times New Roman" w:cs="Times New Roman" w:eastAsia="Times New Roman" w:hAnsi="Times New Roman"/>
                <w:sz w:val="18"/>
                <w:szCs w:val="18"/>
                <w:color w:val="0000FF"/>
              </w:rPr>
              <w:t>r the three months ended September 30, 2026 and 2025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70"/>
        </w:trPr>
        <w:tc>
          <w:tcPr>
            <w:tcW w:w="10420" w:type="dxa"/>
            <w:vAlign w:val="bottom"/>
          </w:tcPr>
          <w:p>
            <w:pPr>
              <w:ind w:left="680"/>
              <w:spacing w:after="0"/>
              <w:rPr>
                <w:sz w:val="20"/>
                <w:szCs w:val="20"/>
                <w:color w:val="auto"/>
              </w:rPr>
            </w:pPr>
            <w:r>
              <w:rPr>
                <w:rFonts w:ascii="Times New Roman" w:cs="Times New Roman" w:eastAsia="Times New Roman" w:hAnsi="Times New Roman"/>
                <w:sz w:val="18"/>
                <w:szCs w:val="18"/>
                <w:color w:val="0000FF"/>
              </w:rPr>
              <w:t>Consolidated Balance Sheets as of September 30, 2026 (unaudited) and June 30, 2026 (audited)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97"/>
        </w:trPr>
        <w:tc>
          <w:tcPr>
            <w:tcW w:w="10420" w:type="dxa"/>
            <w:vAlign w:val="bottom"/>
          </w:tcPr>
          <w:p>
            <w:pPr>
              <w:ind w:left="680"/>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September 30, 2026 and 2025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43"/>
        </w:trPr>
        <w:tc>
          <w:tcPr>
            <w:tcW w:w="10420" w:type="dxa"/>
            <w:vAlign w:val="bottom"/>
          </w:tcPr>
          <w:p>
            <w:pPr>
              <w:ind w:left="680"/>
              <w:spacing w:after="0"/>
              <w:rPr>
                <w:sz w:val="20"/>
                <w:szCs w:val="20"/>
                <w:color w:val="auto"/>
              </w:rPr>
            </w:pPr>
            <w:r>
              <w:rPr>
                <w:rFonts w:ascii="Times New Roman" w:cs="Times New Roman" w:eastAsia="Times New Roman" w:hAnsi="Times New Roman"/>
                <w:sz w:val="18"/>
                <w:szCs w:val="18"/>
                <w:color w:val="0000FF"/>
              </w:rPr>
              <w:t>Notes to the Unaudited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70"/>
        </w:trPr>
        <w:tc>
          <w:tcPr>
            <w:tcW w:w="104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20" w:type="dxa"/>
            <w:vAlign w:val="bottom"/>
          </w:tcPr>
          <w:p>
            <w:pPr>
              <w:spacing w:after="0"/>
              <w:rPr>
                <w:sz w:val="23"/>
                <w:szCs w:val="23"/>
                <w:color w:val="auto"/>
              </w:rPr>
            </w:pP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1A. 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Item 6. 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70"/>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Signature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1033"/>
        </w:trPr>
        <w:tc>
          <w:tcPr>
            <w:tcW w:w="10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millions, except per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2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Circulation and subscription</w:t>
            </w:r>
          </w:p>
        </w:tc>
        <w:tc>
          <w:tcPr>
            <w:tcW w:w="13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136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losses of affiliates</w:t>
            </w:r>
          </w:p>
        </w:tc>
        <w:tc>
          <w:tcPr>
            <w:tcW w:w="136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360" w:type="dxa"/>
            <w:vAlign w:val="bottom"/>
            <w:tcBorders>
              <w:bottom w:val="single" w:sz="8" w:color="CCEEFF"/>
            </w:tcBorders>
          </w:tcPr>
          <w:p>
            <w:pPr>
              <w:jc w:val="center"/>
              <w:ind w:left="733"/>
              <w:spacing w:after="0"/>
              <w:rPr>
                <w:sz w:val="20"/>
                <w:szCs w:val="20"/>
                <w:color w:val="auto"/>
              </w:rPr>
            </w:pPr>
            <w:r>
              <w:rPr>
                <w:rFonts w:ascii="Times New Roman" w:cs="Times New Roman" w:eastAsia="Times New Roman" w:hAnsi="Times New Roman"/>
                <w:sz w:val="18"/>
                <w:szCs w:val="18"/>
                <w:color w:val="auto"/>
                <w:w w:val="99"/>
              </w:rPr>
              <w:t>12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tcBorders>
              <w:bottom w:val="single" w:sz="8" w:color="CCEEFF"/>
            </w:tcBorders>
          </w:tcPr>
          <w:p>
            <w:pPr>
              <w:jc w:val="center"/>
              <w:ind w:left="733"/>
              <w:spacing w:after="0"/>
              <w:rPr>
                <w:sz w:val="20"/>
                <w:szCs w:val="20"/>
                <w:color w:val="auto"/>
              </w:rPr>
            </w:pPr>
            <w:r>
              <w:rPr>
                <w:rFonts w:ascii="Times New Roman" w:cs="Times New Roman" w:eastAsia="Times New Roman" w:hAnsi="Times New Roman"/>
                <w:sz w:val="18"/>
                <w:szCs w:val="18"/>
                <w:color w:val="auto"/>
                <w:w w:val="99"/>
              </w:rPr>
              <w:t>10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1"/>
        </w:trPr>
        <w:tc>
          <w:tcPr>
            <w:tcW w:w="71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News Corporation stockholders</w:t>
            </w:r>
          </w:p>
        </w:tc>
        <w:tc>
          <w:tcPr>
            <w:tcW w:w="1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News Corporation stockholders per share, basic and diluted</w:t>
            </w:r>
          </w:p>
        </w:tc>
        <w:tc>
          <w:tcPr>
            <w:tcW w:w="1360" w:type="dxa"/>
            <w:vAlign w:val="bottom"/>
            <w:tcBorders>
              <w:top w:val="single" w:sz="8" w:color="CCEEFF"/>
              <w:bottom w:val="single" w:sz="8" w:color="CCEEFF"/>
            </w:tcBorders>
            <w:vMerge w:val="restart"/>
          </w:tcPr>
          <w:p>
            <w:pPr>
              <w:jc w:val="center"/>
              <w:ind w:left="733"/>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1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millions)</w:t>
      </w:r>
    </w:p>
    <w:p>
      <w:pPr>
        <w:spacing w:after="0" w:line="111"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8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Net change in the fair value of cash flow hedges</w:t>
            </w:r>
            <w:r>
              <w:rPr>
                <w:rFonts w:ascii="Times New Roman" w:cs="Times New Roman" w:eastAsia="Times New Roman" w:hAnsi="Times New Roman"/>
                <w:sz w:val="23"/>
                <w:szCs w:val="23"/>
                <w:color w:val="auto"/>
                <w:vertAlign w:val="superscript"/>
              </w:rPr>
              <w:t>(a)</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8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Benefit plan adjustments, net</w:t>
            </w:r>
            <w:r>
              <w:rPr>
                <w:rFonts w:ascii="Times New Roman" w:cs="Times New Roman" w:eastAsia="Times New Roman" w:hAnsi="Times New Roman"/>
                <w:sz w:val="23"/>
                <w:szCs w:val="23"/>
                <w:color w:val="auto"/>
                <w:vertAlign w:val="superscript"/>
              </w:rPr>
              <w:t>(b)</w:t>
            </w:r>
          </w:p>
        </w:tc>
        <w:tc>
          <w:tcPr>
            <w:tcW w:w="7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attributable to noncontrolling interests</w:t>
            </w:r>
            <w:r>
              <w:rPr>
                <w:rFonts w:ascii="Times New Roman" w:cs="Times New Roman" w:eastAsia="Times New Roman" w:hAnsi="Times New Roman"/>
                <w:sz w:val="23"/>
                <w:szCs w:val="23"/>
                <w:color w:val="auto"/>
                <w:vertAlign w:val="superscript"/>
              </w:rPr>
              <w:t>(c)</w:t>
            </w:r>
          </w:p>
        </w:tc>
        <w:tc>
          <w:tcPr>
            <w:tcW w:w="7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News Corporation stockholders</w:t>
            </w:r>
          </w:p>
        </w:tc>
        <w:tc>
          <w:tcPr>
            <w:tcW w:w="7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8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(benefit) of nil and $(1) million for the three months ended September 30, 2026 and 2025, respectively.</w:t>
      </w:r>
    </w:p>
    <w:p>
      <w:pPr>
        <w:spacing w:after="0" w:line="163"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(benefit) of $1 million and $2 million for the three months ended September 30, 2026 and 2025, respectively.</w:t>
      </w:r>
    </w:p>
    <w:p>
      <w:pPr>
        <w:spacing w:after="0" w:line="16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foreign currency translation adjustments.</w:t>
      </w:r>
    </w:p>
    <w:p>
      <w:pPr>
        <w:spacing w:after="0" w:line="23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(Millions, except share and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58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60" w:type="dxa"/>
            <w:vAlign w:val="bottom"/>
          </w:tcPr>
          <w:p>
            <w:pPr>
              <w:spacing w:after="0"/>
              <w:rPr>
                <w:sz w:val="16"/>
                <w:szCs w:val="16"/>
                <w:color w:val="auto"/>
              </w:rPr>
            </w:pPr>
          </w:p>
        </w:tc>
        <w:tc>
          <w:tcPr>
            <w:tcW w:w="15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18"/>
                <w:szCs w:val="18"/>
                <w:color w:val="auto"/>
              </w:rPr>
            </w:pPr>
          </w:p>
        </w:tc>
        <w:tc>
          <w:tcPr>
            <w:tcW w:w="15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Receivables, net</w:t>
            </w:r>
          </w:p>
        </w:tc>
        <w:tc>
          <w:tcPr>
            <w:tcW w:w="24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9"/>
              </w:rPr>
              <w:t>12</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Inventory, net</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Investments</w:t>
            </w:r>
          </w:p>
        </w:tc>
        <w:tc>
          <w:tcPr>
            <w:tcW w:w="24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9"/>
              </w:rPr>
              <w:t>4</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4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9"/>
              </w:rPr>
              <w:t>10</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9"/>
              </w:rPr>
              <w:t>12</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207"/>
        </w:trPr>
        <w:tc>
          <w:tcPr>
            <w:tcW w:w="5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4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4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9"/>
              </w:rPr>
              <w:t>2</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borrowings</w:t>
            </w:r>
          </w:p>
        </w:tc>
        <w:tc>
          <w:tcPr>
            <w:tcW w:w="24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9"/>
              </w:rPr>
              <w:t>5</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9"/>
              </w:rPr>
              <w:t>12</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07"/>
        </w:trPr>
        <w:tc>
          <w:tcPr>
            <w:tcW w:w="5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24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9"/>
              </w:rPr>
              <w:t>5</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Retirement benefit obligations</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24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9"/>
              </w:rPr>
              <w:t>10</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9"/>
              </w:rPr>
              <w:t>9</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Class A common stock</w:t>
            </w:r>
            <w:r>
              <w:rPr>
                <w:rFonts w:ascii="Times New Roman" w:cs="Times New Roman" w:eastAsia="Times New Roman" w:hAnsi="Times New Roman"/>
                <w:sz w:val="21"/>
                <w:szCs w:val="21"/>
                <w:color w:val="auto"/>
                <w:vertAlign w:val="superscript"/>
              </w:rPr>
              <w:t>(a)</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Class B common stock</w:t>
            </w:r>
            <w:r>
              <w:rPr>
                <w:rFonts w:ascii="Times New Roman" w:cs="Times New Roman" w:eastAsia="Times New Roman" w:hAnsi="Times New Roman"/>
                <w:sz w:val="21"/>
                <w:szCs w:val="21"/>
                <w:color w:val="auto"/>
                <w:vertAlign w:val="superscript"/>
              </w:rPr>
              <w:t>(b)</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10,380</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News Corporation stockholders’ equity</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24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9"/>
              </w:rPr>
              <w:t>6</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9,236</w:t>
            </w:r>
          </w:p>
        </w:tc>
        <w:tc>
          <w:tcPr>
            <w:tcW w:w="0" w:type="dxa"/>
            <w:vAlign w:val="bottom"/>
          </w:tcPr>
          <w:p>
            <w:pPr>
              <w:spacing w:after="0"/>
              <w:rPr>
                <w:sz w:val="1"/>
                <w:szCs w:val="1"/>
                <w:color w:val="auto"/>
              </w:rPr>
            </w:pPr>
          </w:p>
        </w:tc>
      </w:tr>
      <w:tr>
        <w:trPr>
          <w:trHeight w:val="207"/>
        </w:trPr>
        <w:tc>
          <w:tcPr>
            <w:tcW w:w="5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15,544</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00" w:right="500" w:hanging="492"/>
        <w:spacing w:after="0" w:line="285" w:lineRule="auto"/>
        <w:tabs>
          <w:tab w:leader="none" w:pos="31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Class A common stock</w:t>
      </w:r>
      <w:r>
        <w:rPr>
          <w:rFonts w:ascii="Times New Roman" w:cs="Times New Roman" w:eastAsia="Times New Roman" w:hAnsi="Times New Roman"/>
          <w:sz w:val="14"/>
          <w:szCs w:val="14"/>
          <w:color w:val="auto"/>
        </w:rPr>
        <w:t>, $0.01 par value per share (“Class A Common Stock”), 1,500,000,000 shares authorized, 359,724,495 and 362,139,890 shares issued and outstanding, net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27,368,413 treasury shares at par, at September 30, 2026 and June 30, 2026, respectively.</w:t>
      </w:r>
    </w:p>
    <w:p>
      <w:pPr>
        <w:spacing w:after="0" w:line="63" w:lineRule="exact"/>
        <w:rPr>
          <w:rFonts w:ascii="Times New Roman" w:cs="Times New Roman" w:eastAsia="Times New Roman" w:hAnsi="Times New Roman"/>
          <w:sz w:val="14"/>
          <w:szCs w:val="14"/>
          <w:color w:val="auto"/>
        </w:rPr>
      </w:pPr>
    </w:p>
    <w:p>
      <w:pPr>
        <w:ind w:left="500" w:right="620" w:hanging="492"/>
        <w:spacing w:after="0" w:line="305" w:lineRule="auto"/>
        <w:tabs>
          <w:tab w:leader="none" w:pos="32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Class B common stock</w:t>
      </w:r>
      <w:r>
        <w:rPr>
          <w:rFonts w:ascii="Times New Roman" w:cs="Times New Roman" w:eastAsia="Times New Roman" w:hAnsi="Times New Roman"/>
          <w:sz w:val="14"/>
          <w:szCs w:val="14"/>
          <w:color w:val="auto"/>
        </w:rPr>
        <w:t>, $0.01 par value per share (“Class B Common Stock”), 750,000,000 shares authorized, 179,564,279 and 181,281,012 shares issued and outstanding, net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78,430,424 treasury shares at par, at September 30, 2026 and June 30, 2026, respectively.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36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6"/>
        </w:trPr>
        <w:tc>
          <w:tcPr>
            <w:tcW w:w="8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from continuing operations:</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expense</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losses of affiliates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charges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 net of acquisitions: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8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Receivables and other assets</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 net</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business dispositions</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investments in equity affiliates and other</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investments in equity affiliates and other</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borrowings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News Corp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 from continuing operations</w:t>
            </w:r>
          </w:p>
        </w:tc>
        <w:tc>
          <w:tcPr>
            <w:tcW w:w="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discontinued operations: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 from discontinued operations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 from discontinued operations</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discontinued operations</w:t>
            </w:r>
          </w:p>
        </w:tc>
        <w:tc>
          <w:tcPr>
            <w:tcW w:w="6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8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 including discontinued operations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including discontinued operations</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News Corporation (together with its subsidiaries, “News Corporation,” “News Corp,” the “Company,” “we” or “us”) is a global diversified media and information services company comprised of businesses across a range of media, including: information services and news, digital real estate services and book publishing.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which are referred to herein as the “Consolidated Financial Statements,” have been prepared in accordance with generally accepted accounting principles in the United States of America (“GAAP”) for interim financial information and with the instructions to Form 10-Q and Article 10 of Regulation S-X. In the opinion of management, all adjustments consisting only of normal recurring adjustments necessary for a fair presentation have been reflected in these Consolidated Financial Statements. Operating results for the interim period presented are not necessarily indicative of the results that may be expected for the fiscal year ending June 30, 2027. The preparation of the Company’s Consolidated Financial Statements in conformity with GAAP requires management to make estimates and assumptions that affect the amounts that are reported in the Consolidated Financial Statements and accompanying disclosures. Actual results could differ from those estimates.</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 Investments in which the Company is not able to exercise significant influence over the investee are measured at fair value, if the fair value is readily determinable. If an investment’s fair value is not readily determinable, the Company will measure the investment at cost, less any impairment, plus or minus changes in fair value resulting from observable price changes in orderly transactions for an identical or similar investment of the same issuer.</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statements of operations are referred to herein as the “Statements of Operations.” The consolidated balance sheets are referred to herein as the “Balance Sheets.” The consolidated statements of cash flows are referred to herein as the “Statements of Cash Flows.”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thereto should be read in conjunction with the audited consolidated financial statements and notes thereto included in the Company’s Annual Report on Form 10-K for the fiscal year ended June 30, 2026 as filed with the Securities and Exchange Commission (the “SEC”) on August 7, 2026 (the “2026 Form 10-K”).</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Sunday closest to June 30. Fiscal 2027 and fiscal 2026 include 52 weeks. All references to the three months ended September 30, 2026 and 2025 relate to the three months ended September 27, 2026 and September 28, 2025, respectively. For convenience purposes, the Company dates its Consolidated Financial Statements as of September 30.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ASU 2025-05</w:t>
      </w:r>
      <w:r>
        <w:rPr>
          <w:rFonts w:ascii="Times New Roman" w:cs="Times New Roman" w:eastAsia="Times New Roman" w:hAnsi="Times New Roman"/>
          <w:sz w:val="18"/>
          <w:szCs w:val="18"/>
          <w:i w:val="1"/>
          <w:iCs w:val="1"/>
          <w:color w:val="auto"/>
        </w:rPr>
        <w:t>, Financial Instruments—Credit Losses (Topic 326):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Credit Losses for Accounts Receivable and Contract Assets </w:t>
      </w:r>
      <w:r>
        <w:rPr>
          <w:rFonts w:ascii="Times New Roman" w:cs="Times New Roman" w:eastAsia="Times New Roman" w:hAnsi="Times New Roman"/>
          <w:sz w:val="18"/>
          <w:szCs w:val="18"/>
          <w:color w:val="auto"/>
        </w:rPr>
        <w:t>(“ASU 2025-05”). The amendments in ASU 2025-05 provide entities with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expedient to simplify the estimation of expected credit losses on current accounts receivable and current contract assets that arise from transactions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by allowing the assumption that current conditions as of the balance sheet date will not change during the remaining life of the asset. The Company elected the practical expedient available under ASU 2025-05 on a prospective basis as of July 1, 2026 for its annual and interim reporting periods, which did not have a material effect on the Company’s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The amendments in ASU 2024-03 require public entities to disclose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ASU 2024-03 is effective for the Company’s annual reporting periods beginning on July 1, 2027 and interim reporting periods beginning on July 1, 2028, with early adoption permitted.</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(“ASU 2025-06”). The amendments in ASU 2025-06 eliminate all references to project stages throughout Subtopic 350-40 and require an entity to begin capitalizing software costs when both (1) management has authorized and committed to funding the project and (2) it is probable that the project will be completed and the software will be used to perform the function intended (the “probable-to-complete recognition threshold”). ASU 2025-06 is effective for the Company for its annual reporting periods beginning July 1, 2028, and interim periods within those annual reporting periods, with early adoption permitted. The Company is currently evaluating the impact ASU 2025-06 will have on its consolidated financial statements.</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The amendments in ASU 2025-11 amend ASC Topic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to improve the navigability of required interim disclosures and clarify when the guidance is applicable. ASU 2025-11 also adds a principle requiring entities to disclose material events that occurred since the end of the last annual reporting period. ASU 2025-11 is effective for the Company’s interim reporting periods beginning July 1, 2028, with early adoption permitted. ASU 2025-11 will not have a material impact on the Company’s consolidated financial statements.</w:t>
      </w:r>
    </w:p>
    <w:p>
      <w:pPr>
        <w:spacing w:after="0" w:line="183"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The amendments in ASU 2025-12 represent changes that (1) clarify, (2) correct errors, or (3) make minor improvements to the Accounting Standards Codification that make it easier to understand and apply. ASU 2025-12 is effective for the Company’s annual reporting periods beginning July 1, 2027, and interim periods within those annual reporting periods, with early adoption permitted. ASU 2025-12 will not have a material impact on the Company’s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disaggregated revenues by type and segment for the three months ended September 30, 2026 and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Digital Real</w:t>
            </w:r>
          </w:p>
        </w:tc>
        <w:tc>
          <w:tcPr>
            <w:tcW w:w="20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Book</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Dow Jones</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News Media</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Circulation and subscription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Digital Real</w:t>
            </w:r>
          </w:p>
        </w:tc>
        <w:tc>
          <w:tcPr>
            <w:tcW w:w="20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Book</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Dow Jones</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News Media</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Circulation and subscription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 and Assets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Company’s deferred revenue balance primarily relates to amounts received from customers for subscriptions paid in advance of the services being provided. The following table presents changes in the deferred revenue balance for the three months ended September 30, 2026 and 2025:</w:t>
      </w:r>
    </w:p>
    <w:p>
      <w:pPr>
        <w:spacing w:after="0" w:line="61"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7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7"/>
                <w:szCs w:val="17"/>
                <w:color w:val="auto"/>
              </w:rPr>
            </w:pPr>
          </w:p>
        </w:tc>
      </w:tr>
      <w:tr>
        <w:trPr>
          <w:trHeight w:val="23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30"/>
        </w:trPr>
        <w:tc>
          <w:tcPr>
            <w:tcW w:w="8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Recognition of deferred revenue</w:t>
            </w:r>
            <w:r>
              <w:rPr>
                <w:rFonts w:ascii="Times New Roman" w:cs="Times New Roman" w:eastAsia="Times New Roman" w:hAnsi="Times New Roman"/>
                <w:sz w:val="23"/>
                <w:szCs w:val="23"/>
                <w:color w:val="auto"/>
                <w:vertAlign w:val="superscript"/>
              </w:rPr>
              <w:t>(a)</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500" w:right="120" w:hanging="492"/>
        <w:spacing w:after="0" w:line="302" w:lineRule="auto"/>
        <w:tabs>
          <w:tab w:leader="none" w:pos="492"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three months ended September 30, 2026 and 2025, the Company recognized $331 million and $292 million, respectively, of revenue which was included in the opening deferred revenue balance.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contract assets of $78 million and $57 million as of September 30, 2026 and 2025,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 Disclosures</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Company typically expenses sales commissions to obtain a customer contract as incurred as the amortization period is twelve months or less. These costs are recorded within Selling, general and administrative in the Statements of Operations. The Company also does not capitalize significant financing components when the transfer of the good or service is paid within twelve months or less, or the consideration is received within twelve months or less of the transfer of the good or service.</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recognized approximately $115 million in revenues related to performance obligations that were satisfied or partially satisfied in a prior reporting period. The remaining transaction price related to unsatisfied performance obligations as of September 30, 2026 was approximately $1,193 million, of which approximately $368 million is expected to be recognized over the remainder of fiscal 2027, $312 million is expected to be recognized in fiscal 2028 and $200 million is expected to be recognized in fiscal 2029, with the remainder to be recognized thereafter. These amounts do not include (i) contracts with an expected duration of one year or less, (ii) contracts for which variable consideration is determined based on the customer’s subsequent sale or usage and (iii) variable consideration allocated to performance obligations accounted for under the series guidance that meets the allocation objective under ASC 606.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IMPAIRMENT AND RESTRUCTURING CHARGES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recorded impairment and restructuring charges of $20 million and $19 million,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restructuring program liabilities were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gridSpan w:val="9"/>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One time</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One time</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4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9"/>
                <w:szCs w:val="19"/>
                <w:color w:val="auto"/>
              </w:rPr>
            </w:pPr>
          </w:p>
        </w:tc>
        <w:tc>
          <w:tcPr>
            <w:tcW w:w="920" w:type="dxa"/>
            <w:vAlign w:val="bottom"/>
          </w:tcPr>
          <w:p>
            <w:pPr>
              <w:jc w:val="center"/>
              <w:ind w:left="498"/>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8"/>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020" w:type="dxa"/>
            <w:vAlign w:val="bottom"/>
            <w:gridSpan w:val="2"/>
          </w:tcPr>
          <w:p>
            <w:pPr>
              <w:jc w:val="center"/>
              <w:ind w:left="398"/>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center"/>
              <w:ind w:left="29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September 30, 2026, restructuring liabilities of $25 million were included in the Balance Sheet in Other current liabilities and $33 million were included in Other non-current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were comprised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 Percentage as of</w:t>
            </w:r>
          </w:p>
        </w:tc>
        <w:tc>
          <w:tcPr>
            <w:tcW w:w="16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60" w:type="dxa"/>
            <w:vAlign w:val="bottom"/>
          </w:tcPr>
          <w:p>
            <w:pPr>
              <w:spacing w:after="0"/>
              <w:rPr>
                <w:sz w:val="13"/>
                <w:szCs w:val="13"/>
                <w:color w:val="auto"/>
              </w:rPr>
            </w:pPr>
          </w:p>
        </w:tc>
        <w:tc>
          <w:tcPr>
            <w:tcW w:w="12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6"/>
        </w:trPr>
        <w:tc>
          <w:tcPr>
            <w:tcW w:w="5740" w:type="dxa"/>
            <w:vAlign w:val="bottom"/>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7"/>
                <w:szCs w:val="17"/>
                <w:color w:val="auto"/>
              </w:rPr>
            </w:pPr>
          </w:p>
        </w:tc>
        <w:tc>
          <w:tcPr>
            <w:tcW w:w="12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 2026</w:t>
            </w:r>
          </w:p>
        </w:tc>
      </w:tr>
      <w:tr>
        <w:trPr>
          <w:trHeight w:val="196"/>
        </w:trPr>
        <w:tc>
          <w:tcPr>
            <w:tcW w:w="574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Borders>
              <w:top w:val="single" w:sz="8" w:color="auto"/>
            </w:tcBorders>
          </w:tcPr>
          <w:p>
            <w:pPr>
              <w:spacing w:after="0"/>
              <w:rPr>
                <w:sz w:val="17"/>
                <w:szCs w:val="17"/>
                <w:color w:val="auto"/>
              </w:rPr>
            </w:pPr>
          </w:p>
        </w:tc>
      </w:tr>
      <w:tr>
        <w:trPr>
          <w:trHeight w:val="236"/>
        </w:trPr>
        <w:tc>
          <w:tcPr>
            <w:tcW w:w="57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Equity method investments</w:t>
            </w:r>
            <w:r>
              <w:rPr>
                <w:rFonts w:ascii="Times New Roman" w:cs="Times New Roman" w:eastAsia="Times New Roman" w:hAnsi="Times New Roman"/>
                <w:sz w:val="23"/>
                <w:szCs w:val="23"/>
                <w:color w:val="auto"/>
                <w:vertAlign w:val="superscript"/>
              </w:rPr>
              <w:t>(a)</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various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5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Equity and other securities</w:t>
            </w:r>
            <w:r>
              <w:rPr>
                <w:rFonts w:ascii="Times New Roman" w:cs="Times New Roman" w:eastAsia="Times New Roman" w:hAnsi="Times New Roman"/>
                <w:sz w:val="23"/>
                <w:szCs w:val="23"/>
                <w:color w:val="auto"/>
                <w:vertAlign w:val="superscript"/>
              </w:rPr>
              <w:t>(b)</w:t>
            </w:r>
          </w:p>
        </w:tc>
        <w:tc>
          <w:tcPr>
            <w:tcW w:w="21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various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method investments include News UK’s joint venture with DMG Media.</w:t>
      </w:r>
    </w:p>
    <w:p>
      <w:pPr>
        <w:spacing w:after="0" w:line="68" w:lineRule="exact"/>
        <w:rPr>
          <w:rFonts w:ascii="Times New Roman" w:cs="Times New Roman" w:eastAsia="Times New Roman" w:hAnsi="Times New Roman"/>
          <w:sz w:val="14"/>
          <w:szCs w:val="14"/>
          <w:color w:val="auto"/>
        </w:rPr>
      </w:pPr>
    </w:p>
    <w:p>
      <w:pPr>
        <w:ind w:left="500" w:right="520" w:hanging="492"/>
        <w:spacing w:after="0" w:line="302" w:lineRule="auto"/>
        <w:tabs>
          <w:tab w:leader="none" w:pos="49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and other securities are primarily comprised of the Company’s interest in DAZN, REA Group’s investments in Aurum PropTech Ltd. and Athena Home Loans and certain investments in China.</w:t>
      </w:r>
    </w:p>
    <w:p>
      <w:pPr>
        <w:spacing w:after="0" w:line="16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equity and other securities (including equity method investments for which the Company has elected the fair value option) with quoted prices in active markets as well as equity and other securities without readily determinable fair market values. Equity and other securities without readily determinable fair market values are valued at cost, less any impairment, plus or minus changes in fair value resulting from observable price changes in orderly transactions for an identical or similar investment of the same issuer. The components comprising total gains and losses on equity securities are set forth below:</w:t>
      </w:r>
    </w:p>
    <w:p>
      <w:pPr>
        <w:spacing w:after="0" w:line="210"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7"/>
                <w:szCs w:val="17"/>
                <w:color w:val="auto"/>
              </w:rPr>
            </w:pPr>
          </w:p>
        </w:tc>
      </w:tr>
      <w:tr>
        <w:trPr>
          <w:trHeight w:val="23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gains (losses) recognized on equity securities</w:t>
            </w: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gains (losses) recognized on equity securities sold</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recognized on equity securities held at end of period</w:t>
            </w: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Losses of Affiliates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Company’s share of the losses of its equity affiliates was $3 million and $2 million for the three months ended September 30, 2026 and 2025,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Distilled Ltd Investment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September 2026, REA Group entered into an agreement to acquire a 35% interest in Distilled Ltd (“Distilled”) for approximately A$409 million in cash, subject to customary purchase price adjustments, which it expects to fund with borrowings and cash on hand. The investment is subject to customary closing conditions, including regulatory approval, and is expected to close during fiscal 2027. Distilled operates multi-vertical digital marketplaces across Ireland and Northern Ireland.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borrowings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 rate at September</w:t>
            </w: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 at September</w:t>
            </w:r>
          </w:p>
        </w:tc>
        <w:tc>
          <w:tcPr>
            <w:tcW w:w="16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3"/>
                <w:szCs w:val="13"/>
                <w:color w:val="auto"/>
              </w:rPr>
            </w:pP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News Corporation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2026 Term loan A</w:t>
            </w:r>
            <w:r>
              <w:rPr>
                <w:rFonts w:ascii="Times New Roman" w:cs="Times New Roman" w:eastAsia="Times New Roman" w:hAnsi="Times New Roman"/>
                <w:sz w:val="23"/>
                <w:szCs w:val="23"/>
                <w:color w:val="auto"/>
                <w:vertAlign w:val="superscript"/>
              </w:rPr>
              <w:t>(a)</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4.857 %</w:t>
            </w:r>
          </w:p>
        </w:tc>
        <w:tc>
          <w:tcPr>
            <w:tcW w:w="100" w:type="dxa"/>
            <w:vAlign w:val="bottom"/>
          </w:tcPr>
          <w:p>
            <w:pPr>
              <w:spacing w:after="0"/>
              <w:rPr>
                <w:sz w:val="23"/>
                <w:szCs w:val="23"/>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 27, 2031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 Senior notes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5.125 %</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Feb 15, 2032</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2021 Senior notes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3.875 %</w:t>
            </w:r>
          </w:p>
        </w:tc>
        <w:tc>
          <w:tcPr>
            <w:tcW w:w="100" w:type="dxa"/>
            <w:vAlign w:val="bottom"/>
          </w:tcPr>
          <w:p>
            <w:pPr>
              <w:spacing w:after="0"/>
              <w:rPr>
                <w:sz w:val="23"/>
                <w:szCs w:val="23"/>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15, 2029</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Finance lease liability</w:t>
            </w:r>
            <w:r>
              <w:rPr>
                <w:rFonts w:ascii="Times New Roman" w:cs="Times New Roman" w:eastAsia="Times New Roman" w:hAnsi="Times New Roman"/>
                <w:sz w:val="23"/>
                <w:szCs w:val="23"/>
                <w:color w:val="auto"/>
                <w:vertAlign w:val="superscript"/>
              </w:rPr>
              <w:t>(b)</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borrowings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00" w:right="340" w:hanging="492"/>
        <w:spacing w:after="0" w:line="301" w:lineRule="auto"/>
        <w:tabs>
          <w:tab w:leader="none" w:pos="49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an interest rate swap derivative as discussed in Note 7—Financial Instruments and Fair Value Measurements. For the three months ended September 30, 2026, the Company was paying interest at an effective interest rate of 3.399%.</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HarperCollins Equipment Lease described below. Amounts pertain to equipment received as of September 30, 2026.</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HarperCollins Equipment Lease</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October 2025, HarperCollins entered into a finance leasing arrangement for up to $120 million of equipment for a new warehouse (the “Equipment Lease”). Interest accrues on amounts drawn under the Equipment Lease based on the Term SOFR plus a margin of 1.475%. The Equipment Lease may be drawn on until June 30, 2028, after which lease payments commence for a term of 7 years. The lease obligations are secured by the acquired equipment, and ownership of the equipment acquired under the Equipment Lease will transfer to HarperCollins at the end of the lease term. The Company has recognized finance lease right-of-use assets on the Company’s Balance Sheet within Property, plant and equipment, net reflecting equipment received as of September 30,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 Group 2026 Credit Facility</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September 2026, REA Group terminated its undrawn 2024 REA Credit Facility and entered into a new unsecured syndicated credit facility (the “2026 REA Credit Facility”). The 2026 REA Credit Facility provides a three-year A$500 million revolving loan facility maturing on September 30, 2029. REA Group is a consolidated but non wholly-owned subsidiary of News Corp, and its indebtedness is only guaranteed by REA Group and certain of its subsidiaries and is non-recourse to News Corp.</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Borrowings under the 2026 REA Credit Facility accrue interest at a floating rate equal to the Australian BBSY plus a margin of between 1.05% and 1.95%, depending on REA Group’s net leverage ratio. The 2026 REA Credit Facility carries a commitment fee equal to 40% of the applicable margin on any undrawn balance.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Company’s borrowings and those of its consolidated subsidiaries contain customary representations, covenants and events of default. If any of the events of default occur and are not cured within applicable grace periods or waived, any unpaid amounts under the applicable debt agreement may be declared immediately due and payable. The Company was in compliance with all applicable covenants as of September 30,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changes in equity for the three months ended September 30, 2026 and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 September 30, 2026</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440" w:type="dxa"/>
            <w:vAlign w:val="bottom"/>
            <w:gridSpan w:val="5"/>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Class A Common</w:t>
            </w:r>
          </w:p>
        </w:tc>
        <w:tc>
          <w:tcPr>
            <w:tcW w:w="1420" w:type="dxa"/>
            <w:vAlign w:val="bottom"/>
            <w:gridSpan w:val="5"/>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Class B Common</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1"/>
                <w:szCs w:val="11"/>
                <w:color w:val="auto"/>
              </w:rPr>
            </w:pPr>
          </w:p>
        </w:tc>
        <w:tc>
          <w:tcPr>
            <w:tcW w:w="7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44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42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rPr>
              <w:t>News</w:t>
            </w: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3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5"/>
                <w:szCs w:val="5"/>
                <w:color w:val="auto"/>
              </w:rPr>
            </w:pPr>
          </w:p>
        </w:tc>
        <w:tc>
          <w:tcPr>
            <w:tcW w:w="96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5"/>
                <w:szCs w:val="5"/>
                <w:color w:val="auto"/>
              </w:rPr>
            </w:pPr>
          </w:p>
        </w:tc>
        <w:tc>
          <w:tcPr>
            <w:tcW w:w="112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5"/>
                <w:szCs w:val="5"/>
                <w:color w:val="auto"/>
              </w:rPr>
            </w:pPr>
          </w:p>
        </w:tc>
        <w:tc>
          <w:tcPr>
            <w:tcW w:w="72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Corp</w:t>
            </w:r>
          </w:p>
        </w:tc>
        <w:tc>
          <w:tcPr>
            <w:tcW w:w="120" w:type="dxa"/>
            <w:vAlign w:val="bottom"/>
          </w:tcPr>
          <w:p>
            <w:pPr>
              <w:spacing w:after="0"/>
              <w:rPr>
                <w:sz w:val="5"/>
                <w:szCs w:val="5"/>
                <w:color w:val="auto"/>
              </w:rPr>
            </w:pPr>
          </w:p>
        </w:tc>
        <w:tc>
          <w:tcPr>
            <w:tcW w:w="8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80" w:type="dxa"/>
            <w:vAlign w:val="bottom"/>
          </w:tcPr>
          <w:p>
            <w:pPr>
              <w:spacing w:after="0"/>
              <w:rPr>
                <w:sz w:val="5"/>
                <w:szCs w:val="5"/>
                <w:color w:val="auto"/>
              </w:rPr>
            </w:pPr>
          </w:p>
        </w:tc>
        <w:tc>
          <w:tcPr>
            <w:tcW w:w="700" w:type="dxa"/>
            <w:vAlign w:val="bottom"/>
            <w:vMerge w:val="restart"/>
          </w:tcPr>
          <w:p>
            <w:pPr>
              <w:jc w:val="center"/>
              <w:ind w:right="96"/>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Pr>
          <w:p>
            <w:pPr>
              <w:spacing w:after="0"/>
              <w:rPr>
                <w:sz w:val="15"/>
                <w:szCs w:val="15"/>
                <w:color w:val="auto"/>
              </w:rPr>
            </w:pPr>
          </w:p>
        </w:tc>
        <w:tc>
          <w:tcPr>
            <w:tcW w:w="6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News Corp share repurchases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3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 September 30, 2025</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440" w:type="dxa"/>
            <w:vAlign w:val="bottom"/>
            <w:gridSpan w:val="5"/>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420" w:type="dxa"/>
            <w:vAlign w:val="bottom"/>
            <w:gridSpan w:val="5"/>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1"/>
                <w:szCs w:val="11"/>
                <w:color w:val="auto"/>
              </w:rPr>
            </w:pPr>
          </w:p>
        </w:tc>
        <w:tc>
          <w:tcPr>
            <w:tcW w:w="7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80" w:type="dxa"/>
            <w:vAlign w:val="bottom"/>
          </w:tcPr>
          <w:p>
            <w:pPr>
              <w:spacing w:after="0"/>
              <w:rPr>
                <w:sz w:val="10"/>
                <w:szCs w:val="10"/>
                <w:color w:val="auto"/>
              </w:rPr>
            </w:pPr>
          </w:p>
        </w:tc>
        <w:tc>
          <w:tcPr>
            <w:tcW w:w="1440" w:type="dxa"/>
            <w:vAlign w:val="bottom"/>
            <w:gridSpan w:val="5"/>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420" w:type="dxa"/>
            <w:vAlign w:val="bottom"/>
            <w:gridSpan w:val="5"/>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0"/>
                <w:szCs w:val="10"/>
                <w:color w:val="auto"/>
              </w:rPr>
            </w:pPr>
          </w:p>
        </w:tc>
        <w:tc>
          <w:tcPr>
            <w:tcW w:w="72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News</w:t>
            </w: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3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5"/>
                <w:szCs w:val="5"/>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5"/>
                <w:szCs w:val="5"/>
                <w:color w:val="auto"/>
              </w:rPr>
            </w:pPr>
          </w:p>
        </w:tc>
        <w:tc>
          <w:tcPr>
            <w:tcW w:w="112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5"/>
                <w:szCs w:val="5"/>
                <w:color w:val="auto"/>
              </w:rPr>
            </w:pPr>
          </w:p>
        </w:tc>
        <w:tc>
          <w:tcPr>
            <w:tcW w:w="72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Corp</w:t>
            </w:r>
          </w:p>
        </w:tc>
        <w:tc>
          <w:tcPr>
            <w:tcW w:w="120" w:type="dxa"/>
            <w:vAlign w:val="bottom"/>
          </w:tcPr>
          <w:p>
            <w:pPr>
              <w:spacing w:after="0"/>
              <w:rPr>
                <w:sz w:val="5"/>
                <w:szCs w:val="5"/>
                <w:color w:val="auto"/>
              </w:rPr>
            </w:pPr>
          </w:p>
        </w:tc>
        <w:tc>
          <w:tcPr>
            <w:tcW w:w="82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80" w:type="dxa"/>
            <w:vAlign w:val="bottom"/>
          </w:tcPr>
          <w:p>
            <w:pPr>
              <w:spacing w:after="0"/>
              <w:rPr>
                <w:sz w:val="5"/>
                <w:szCs w:val="5"/>
                <w:color w:val="auto"/>
              </w:rPr>
            </w:pPr>
          </w:p>
        </w:tc>
        <w:tc>
          <w:tcPr>
            <w:tcW w:w="700" w:type="dxa"/>
            <w:vAlign w:val="bottom"/>
            <w:vMerge w:val="restart"/>
          </w:tcPr>
          <w:p>
            <w:pPr>
              <w:jc w:val="center"/>
              <w:ind w:right="96"/>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34"/>
        </w:trPr>
        <w:tc>
          <w:tcPr>
            <w:tcW w:w="2380" w:type="dxa"/>
            <w:vAlign w:val="bottom"/>
          </w:tcPr>
          <w:p>
            <w:pPr>
              <w:spacing w:after="0"/>
              <w:rPr>
                <w:sz w:val="2"/>
                <w:szCs w:val="2"/>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2"/>
                <w:szCs w:val="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38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News Corp share repurchases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announced a stock repurchase program authorizing the Company to purchase up to $1 billion in the aggregate of the Company’s outstanding Class A Common Stock and Class B Common Stock (the “2021 Repurchase Program”), which was completed during fiscal 2026. On July 15, 2025, the Company announced a new stock repurchase program authorizing the Company to purchase up to $1 billion in the aggregate of the Company’s outstanding Class A Common Stock and Class B Common Stock (the “2025 Repurchase Program” and, together with the 2021 Repurchase Program, the “Stock Repurchase Programs”), which was in addition to the remaining authorized amount under the 2021 Repurchase Program at that time.</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manner, timing, number and share price of any repurchases will be determined by the Company at its discretion and will depend upon such factors as the market price of the stock, general market conditions, applicable securities laws, alternative investment opportunities and other factors. As of September 30, 2026, the remaining authorized amount under the 2025 Repurchase Program was approximately $501 million. The 2025 Repurchase Program has no time limit and may be modified, suspended or discontinued at any time.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repurchased and subsequently retired under the Stock Repurchase Programs and the related consideration paid, excluding associated taxes, fees, commissions or other costs, during the three months ended September 30, 2026 and 2025:</w:t>
      </w:r>
    </w:p>
    <w:p>
      <w:pPr>
        <w:spacing w:after="0" w:line="19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6500" w:type="dxa"/>
            <w:vAlign w:val="bottom"/>
          </w:tcPr>
          <w:p>
            <w:pPr>
              <w:spacing w:after="0"/>
              <w:rPr>
                <w:sz w:val="17"/>
                <w:szCs w:val="17"/>
                <w:color w:val="auto"/>
              </w:rPr>
            </w:pPr>
          </w:p>
        </w:tc>
        <w:tc>
          <w:tcPr>
            <w:tcW w:w="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6"/>
        </w:trPr>
        <w:tc>
          <w:tcPr>
            <w:tcW w:w="6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65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August 2026, the Company’s Board of Directors (the “Board of Directors”) declared a semi-annual cash dividend of $0.10 per share for Class A Common Stock and Class B Common Stock. The dividend was paid on October 7, 2026 to stockholders of record as of September 9, 2026. The timing, declaration, amount and payment of future dividends to stockholders, if any, is within the discretion of the Board of Directors. The Board of Directors’ decisions regarding the payment of future dividends will depend on many factors, including the Company’s financial condition, earnings, capital requirements and debt facility covenants, other contractual restrictions, as well as legal requirements, regulatory constraints, industry practice, market volatility and other factors that the Board of Directors deems relevant.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FINANCIAL INSTRUMENTS AND FAIR VALUE MEASUREMENTS</w:t>
      </w:r>
    </w:p>
    <w:p>
      <w:pPr>
        <w:spacing w:after="0" w:line="22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fair value measurements are required to be disclosed using a three-tiered fair value hierarchy which distinguishes market participant assumptions into the following categories:</w:t>
      </w:r>
    </w:p>
    <w:p>
      <w:pPr>
        <w:spacing w:after="0" w:line="160"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500" w:right="60" w:hanging="492"/>
        <w:spacing w:after="0" w:line="266"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included in Level 1. The Company could value assets and liabilities included in this level using dealer and broker quotations, certain pricing models, bid prices, quoted prices for similar assets and liabilities in active markets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jc w:val="both"/>
        <w:ind w:left="500" w:right="180" w:hanging="492"/>
        <w:spacing w:after="0" w:line="266"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For the Company, this primarily includes the use of forecasted financial information and other valuation related assumptions such as discount rates and long term growth rates in the income approach as well as the market approach which utilizes certain market and transaction multiples.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assets measured at fair value: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June 30, 2026</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0"/>
        </w:trPr>
        <w:tc>
          <w:tcPr>
            <w:tcW w:w="43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derivatives—cash flow hedges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and other securities</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57"/>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and Other Securities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fair values of equity and other securities (including equity method investments for which the Company has elected the fair value option) with quoted prices in active markets, which are classified as Level 1 in the fair value hierarchy outlined above, and those that rely on significant observable inputs other than quoted prices in active markets, which are classified as Level 2 in the fair value hierarchy outlined above, are determined based on the closing price at the end of each reporting period. The fair values of equity and other securities without readily determinable fair market values are determined based on cost, less any impairment, plus or minus changes in fair value resulting from observable price changes in orderly transactions for an identical or similar investment of the same issuer. These securities are classified as Level 3 in the fair value hierarchy outlined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is directly and indirectly affected by risks associated with changes in certain market conditions. When deemed appropriate, the Company uses derivative instruments to mitigate the potential impact of these market risks. The primary market risk managed by the Company through the use of derivative instruments relates to interest rate risk arising from floating rate News Corporation borrowings.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formally designates qualifying derivatives as hedge relationships and applies hedge accounting when considered appropriate. The Company does not use derivative financial instruments for trading or speculative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Derivatives are classified as current or non-current in the Balance Sheets based on their maturity dates. Refer to the table below for further details: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20" w:type="dxa"/>
            <w:vAlign w:val="bottom"/>
          </w:tcPr>
          <w:p>
            <w:pPr>
              <w:spacing w:after="0"/>
              <w:rPr>
                <w:sz w:val="13"/>
                <w:szCs w:val="13"/>
                <w:color w:val="auto"/>
              </w:rPr>
            </w:pPr>
          </w:p>
        </w:tc>
        <w:tc>
          <w:tcPr>
            <w:tcW w:w="196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Pr>
          <w:p>
            <w:pPr>
              <w:spacing w:after="0"/>
              <w:rPr>
                <w:sz w:val="13"/>
                <w:szCs w:val="13"/>
                <w:color w:val="auto"/>
              </w:rPr>
            </w:pPr>
          </w:p>
        </w:tc>
        <w:tc>
          <w:tcPr>
            <w:tcW w:w="172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80" w:type="dxa"/>
            <w:vAlign w:val="bottom"/>
          </w:tcPr>
          <w:p>
            <w:pPr>
              <w:spacing w:after="0"/>
              <w:rPr>
                <w:sz w:val="16"/>
                <w:szCs w:val="16"/>
                <w:color w:val="auto"/>
              </w:rPr>
            </w:pPr>
          </w:p>
        </w:tc>
        <w:tc>
          <w:tcPr>
            <w:tcW w:w="172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derivatives—cash flow hedges</w:t>
            </w: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interest rate derivatives to mitigate interest rate risk in relation to future interest payments.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total notional value of interest rate swap derivatives designated for hedging was approximately $444 million as of September 30, 2026 for News Corporation borrowings. The maximum hedged term over which the Company is hedging exposure to variability in interest payments is to March 2027. As of September 30, 2026, the Company estimates that approximately $5 million of net derivative gains related to its interest rate swap derivative cash flow hedges included in Accumulated other comprehensive loss will be reclassified into the Statements of Operations within the next twelve months.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that changes in the fair values had on Accumulated other comprehensive loss and the Statements of Operations during the three months ended September 30, 2026 and 2025 for derivatives designated as cash flow hedges: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(losses) recognized in Accumulated other comprehensive loss for the three months ended September 30, 2026 and 2025, by derivative instrument:</w:t>
      </w:r>
    </w:p>
    <w:p>
      <w:pPr>
        <w:spacing w:after="0" w:line="143"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22225</wp:posOffset>
            </wp:positionV>
            <wp:extent cx="1457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7" w:lineRule="exact"/>
        <w:rPr>
          <w:sz w:val="20"/>
          <w:szCs w:val="20"/>
          <w:color w:val="auto"/>
        </w:rPr>
      </w:pPr>
    </w:p>
    <w:p>
      <w:pPr>
        <w:ind w:left="9340"/>
        <w:spacing w:after="0"/>
        <w:tabs>
          <w:tab w:leader="none" w:pos="105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33655</wp:posOffset>
            </wp:positionV>
            <wp:extent cx="1457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5"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ind w:left="20"/>
        <w:spacing w:after="0"/>
        <w:tabs>
          <w:tab w:leader="none" w:pos="8940" w:val="left"/>
          <w:tab w:leader="none" w:pos="9860" w:val="left"/>
          <w:tab w:leader="none" w:pos="10140" w:val="left"/>
          <w:tab w:leader="none" w:pos="11060" w:val="left"/>
        </w:tabs>
        <w:rPr>
          <w:sz w:val="20"/>
          <w:szCs w:val="20"/>
          <w:color w:val="auto"/>
        </w:rPr>
      </w:pPr>
      <w:r>
        <w:rPr>
          <w:rFonts w:ascii="Times New Roman" w:cs="Times New Roman" w:eastAsia="Times New Roman" w:hAnsi="Times New Roman"/>
          <w:sz w:val="18"/>
          <w:szCs w:val="18"/>
          <w:color w:val="auto"/>
        </w:rPr>
        <w:t>Interest rate derivatives—cash flow hedges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w:t>
        <w:tab/>
        <w:t>$</w:t>
      </w:r>
      <w:r>
        <w:rPr>
          <w:sz w:val="20"/>
          <w:szCs w:val="20"/>
          <w:color w:val="auto"/>
        </w:rPr>
        <w:tab/>
      </w: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(Gains) losses reclassified from Accumulated other comprehensive loss into the Statements of Operations for the three months ended September 30, 2026 and 2025, by derivative instrument: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2040" w:type="dxa"/>
            <w:vAlign w:val="bottom"/>
            <w:gridSpan w:val="3"/>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3"/>
                <w:szCs w:val="13"/>
                <w:color w:val="auto"/>
              </w:rPr>
            </w:pPr>
          </w:p>
        </w:tc>
      </w:tr>
      <w:tr>
        <w:trPr>
          <w:trHeight w:val="195"/>
        </w:trPr>
        <w:tc>
          <w:tcPr>
            <w:tcW w:w="6640" w:type="dxa"/>
            <w:vAlign w:val="bottom"/>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700" w:type="dxa"/>
            <w:vAlign w:val="bottom"/>
          </w:tcPr>
          <w:p>
            <w:pPr>
              <w:spacing w:after="0"/>
              <w:rPr>
                <w:sz w:val="16"/>
                <w:szCs w:val="16"/>
                <w:color w:val="auto"/>
              </w:rPr>
            </w:pPr>
          </w:p>
        </w:tc>
        <w:tc>
          <w:tcPr>
            <w:tcW w:w="1340" w:type="dxa"/>
            <w:vAlign w:val="bottom"/>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r>
      <w:tr>
        <w:trPr>
          <w:trHeight w:val="195"/>
        </w:trPr>
        <w:tc>
          <w:tcPr>
            <w:tcW w:w="664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r>
      <w:tr>
        <w:trPr>
          <w:trHeight w:val="23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derivatives—cash flow hedges</w:t>
            </w:r>
          </w:p>
        </w:tc>
        <w:tc>
          <w:tcPr>
            <w:tcW w:w="2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income, net</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to assets and liabilities that are remeasured at fair value on a recurring basis, the Company has certain assets, primarily goodwill, intangible assets, property, plant and equipment, investments in equity securities without readily determinable fair values and equity method investments, that are not required to be remeasured to fair value at the end of each reporting period. On an ongoing basis, the Company monitors whether events occur or circumstances change that would more likely than not reduce the fair values of these assets below their carrying amounts. If the Company determines that these assets are impaired, the Company would write down these assets to fair value. These nonrecurring fair value measurements are considered to be Level 3 in the fair value hierarchy. There have been no material current period or cumulative remeasurements of Level 3 equity and other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2026, the carrying value of the Company’s outstanding borrowings approximates the fair value. The 2022 Senior Notes and the 2021 Senior Notes are classified as Level 2 and the remaining borrowings are classified as Level 3 in the fair value hierarchy.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(LOSS)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earnings (loss) per share under ASC 260, </w:t>
      </w:r>
      <w:r>
        <w:rPr>
          <w:rFonts w:ascii="Times New Roman" w:cs="Times New Roman" w:eastAsia="Times New Roman" w:hAnsi="Times New Roman"/>
          <w:sz w:val="18"/>
          <w:szCs w:val="18"/>
          <w:i w:val="1"/>
          <w:iCs w:val="1"/>
          <w:color w:val="auto"/>
        </w:rPr>
        <w:t>Earnings per Share:</w:t>
      </w:r>
    </w:p>
    <w:p>
      <w:pPr>
        <w:spacing w:after="0" w:line="253"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1"/>
        </w:trPr>
        <w:tc>
          <w:tcPr>
            <w:tcW w:w="87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News Corporation stockholders</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564.9</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8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of common stock outstanding - diluted</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566.9</w:t>
            </w:r>
          </w:p>
        </w:tc>
        <w:tc>
          <w:tcPr>
            <w:tcW w:w="0" w:type="dxa"/>
            <w:vAlign w:val="bottom"/>
          </w:tcPr>
          <w:p>
            <w:pPr>
              <w:spacing w:after="0"/>
              <w:rPr>
                <w:sz w:val="1"/>
                <w:szCs w:val="1"/>
                <w:color w:val="auto"/>
              </w:rPr>
            </w:pP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News Corporation stockholders per share - basic and 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891"/>
        </w:trPr>
        <w:tc>
          <w:tcPr>
            <w:tcW w:w="87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certain firm contractual arrangements to make future payments. These firm commitments secure the current and future rights to various assets and services to be used in the normal course of operations. The Company’s commitments as of September 30, 2026 have not changed significantly from the disclosures included in the 2026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routinely is involved in various legal proceedings, claims and governmental inspections or investigations, including those discussed below. The outcome of these matters and claims is subject to significant uncertainty, and the Company often cannot predict what the eventual outcome of pending matters will be or the timing of the ultimate resolution of these matters. Fees, expenses, fines, penalties, judgments or settlement costs which might be incurred by the Company in connection with the various proceedings could adversely affect its results of operations and financial condition.</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establishes an accrued liability for legal claims when it determines that a loss is probable and the amount of the loss can be reasonably estimated. Once established, accruals are adjusted from time to time, as appropriate, in light of additional information. The amount of any loss ultimately incurred in relation to matters for which an accrual has been established may be higher or lower than the amounts accrued for such matters. Legal fees associated with litigation and similar proceedings are expensed as incurred. Except as otherwise provided below, for the contingencies disclosed for which there is at least a reasonable possibility that a loss may be incurred, the Company was unable to estimate the amount of loss or range of loss. The Company recognizes gain contingencies when the gain becomes realized or realizable.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Dow Jones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Beginning in August 2024, a number of purported class action complaints were filed in the U.S. District Court for the Northern District of Illinois against certain pipe converters, distributors and the Company’s subsidiary, Oil Price Information Service, LLC (“OPIS”), alleging violations of federal and state antitrust laws. In May 2025, the Company entered into a settlement resolving these complaints, which received final court approval in June 2026. In September 2025, a similar purported class action was filed in the Supreme Court of British Columbia alleging violations of certain provisions of Canadian law and claiming damages and costs among other relief. The Company is currently evaluating this action, and it is not possible at this time to predict with any degree of certainty the ultimate outcome.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(i) in January 2025, OPIS received a grand jury subpoena issued by the U.S. District Court for the Northern District of California, from the U.S. Department of Justice Antitrust Division, and (ii) in April 2025, OPIS received a civil investigative demand (“CID”) from a state attorney general. Both the subpoena and the CID call for production of documents related to PVC pipe, including documents relating to the publication of the PVC and Pipe Weekly Report. OPIS is complying with its obligations under the subpoena and CID.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HarperCollins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Beginning in February 2021, a number of purported class action complaints have been filed in the U.S. District Court for the Southern District of New York (the “N.Y. District Court”) against Amazon.com, Inc. (“Amazon”) and certain publishers, including the Company’s subsidiary, HarperCollins Publishers, L.L.C. (“HarperCollins” and together with the other publishers, the “Publishers”), alleging violations of antitrust and competition laws. The complaints seek treble damages, injunctive relief and attorneys’ fees and costs. In August 2023, the N.Y. District Court dismissed the complaints in one of the cases with prejudice and in March 2024, the court dismissed the complaint against the Publishers in the remaining case with prejudice. However, the plaintiffs’ time to appeal the N.Y. District Court’s decision to dismiss in the latter case does not expire until the complaint against Amazon in that case has been finally determined. While it is not possible at this time to predict with any degree of certainty the ultimate outcome of these actions, HarperCollins believes it has been compliant with applicable laws and intends to defend itself vigorously.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July 2026, a class action settlement with Anthropic PBC, covering HarperCollins as a class member, received final court approval. As the timing and amount of any potential proceeds receivable under the settlement remain subject to the claims process, the Company has not yet recognized any gain related to this matter.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Newspaper Matters</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Civil claims have been brought against the Company with respect to, among other things, voicemail interception and inappropriate payments to public officials at the Company’s former publication, </w:t>
      </w:r>
      <w:r>
        <w:rPr>
          <w:rFonts w:ascii="Times New Roman" w:cs="Times New Roman" w:eastAsia="Times New Roman" w:hAnsi="Times New Roman"/>
          <w:sz w:val="18"/>
          <w:szCs w:val="18"/>
          <w:i w:val="1"/>
          <w:iCs w:val="1"/>
          <w:color w:val="auto"/>
        </w:rPr>
        <w:t>The News of the World</w:t>
      </w:r>
      <w:r>
        <w:rPr>
          <w:rFonts w:ascii="Times New Roman" w:cs="Times New Roman" w:eastAsia="Times New Roman" w:hAnsi="Times New Roman"/>
          <w:sz w:val="18"/>
          <w:szCs w:val="18"/>
          <w:color w:val="auto"/>
        </w:rPr>
        <w:t xml:space="preserve">, and at </w:t>
      </w:r>
      <w:r>
        <w:rPr>
          <w:rFonts w:ascii="Times New Roman" w:cs="Times New Roman" w:eastAsia="Times New Roman" w:hAnsi="Times New Roman"/>
          <w:sz w:val="18"/>
          <w:szCs w:val="18"/>
          <w:i w:val="1"/>
          <w:iCs w:val="1"/>
          <w:color w:val="auto"/>
        </w:rPr>
        <w:t>The Sun</w:t>
      </w:r>
      <w:r>
        <w:rPr>
          <w:rFonts w:ascii="Times New Roman" w:cs="Times New Roman" w:eastAsia="Times New Roman" w:hAnsi="Times New Roman"/>
          <w:sz w:val="18"/>
          <w:szCs w:val="18"/>
          <w:color w:val="auto"/>
        </w:rPr>
        <w:t>, and related matters (the “U.K. Newspaper Matters”). The Company has admitted liability in many civil cases and has settled a number of cases and claims. In connection with the separation of the Company from Twenty-First Century Fox, Inc. (“21st Century Fox”) on June 28, 2013, the Company and 21st Century Fox agreed in the Separation and Distribution Agreement (the “SDA”) that 21st Century Fox would indemnify the Company on an after-tax basis for payments made after such date arising out of civil claims and investigations relating to the U.K. Newspaper Matters as well as related legal and professional fees and expenses, other than in the limited circumstances set forth in the SDA. These indemnification obligations were subsequently assigned, conveyed and transferred to FOX Corporation (“FOX”) as part of its separation from 21st Century Fox.</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net expense related to the U.K. Newspaper Matters in Selling, general and administrative was nil and $1 million for the three months ended September 30, 2026 and 2025, respectively. As of September 30, 2026, the Company has provided for its best estimate of the costs incurred and liability for the claims that have been filed and has accrued approximately $4 million. The amount to be indemnified by FOX of approximately $12 million was recorded as a receivable in Other current assets on the Balance Sheet as of September 30, 2026. The Company is not able to predict the ultimate outcome or cost of the civil claims, and it is possible that these proceedings and any adverse resolution thereof could negatively impact its results of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the end of each interim period, the Company estimates its annual effective tax rate and applies that rate to ordinary 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recorded income tax expense of $81 million on pre-tax income of $296 million, resulting in an effective tax rate that was higher than the U.S. statutory tax rate. The tax rate was impacted by foreign operations which are subject to higher tax rates, remeasurement losses on certain investments with little or no tax benefit and valuation allowances recorded against tax benefits in certain businesses, partially offset by the favorable impact of REA Group’s sale of REA India’s remaining business.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recorded income tax expense of $62 million on pre-tax income of $212 million, resulting in an effective tax rate that was higher than the U.S. statutory tax rate. The tax rate was impacted by foreign operations which are subject to higher tax rates and by valuation allowances recorded against tax benefits in certain businesses.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Management assesses available evidence to determine whether sufficient future taxable income will be generated to permit the use of existing deferred tax assets. Based on management’s assessment of available evidence, it has been determined that it is more likely than not that certain deferred tax assets may not be realized and therefore, a valuation allowance has been established against those tax assets.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tax returns are subject to on-going review and examination by various tax authorities. Tax authorities may not agree with the treatment of items reported in the Company’s tax returns, and therefore the outcome of tax reviews and examinations can be unpredictable. The Company is currently undergoing audits with the U.S. Internal Revenue Service for the fiscal year ended June 30, 2024 and certain U.S. states and foreign jurisdictions for various years. The Company believes it has appropriately accrued for the expected outcome of uncertain tax matters and believes such liabilities represent a reasonable provision for taxes ultimately expected to be paid. However, the Company may need to accrue additional income tax expense and its liability may need to be adjusted as new information becomes known and as these tax examinations continue to progress, or as settlements or litigations occur.</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July 4, 2025, H.R. 1 - One Big Beautiful Bill Act (“OBBBA”) was enacted into law. The OBBBA makes permanent key elements of the Tax Cuts and Jobs Act, including 100% bonus depreciation, domestic research cost expensing, and the business interest expense limitation. Certain provisions of OBBBA are effective beginning in fiscal 2027.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requires the effects of changes in tax rates and laws on deferred tax balances to be recognized in the period in which the legislation is enacted. The OBBBA maintains the U.S. Federal income tax rate of 21%. The Company does not expect OBBBA to materially impact its effective tax rate, however the Company continues to assess the impact of OBBBA including future expected guidance from the U.S. Treasury Department and States.</w:t>
      </w:r>
    </w:p>
    <w:p>
      <w:pPr>
        <w:spacing w:after="0" w:line="18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Organization for Economic Cooperation and Development (“OECD”) has proposed a global minimum tax of 15% of reported profits (“Pillar 2”) that has been agreed upon in principle by over 140 countries. Following an executive order issued by the United States in January 2025 announcing opposition to aspects of these rules, the G7 issued a statement on June 28, 2025 acknowledging that U.S. parented groups would be exempt from certain aspects of Pillar 2 in recognition of existing U.S. minimum tax rules to which they are subject. On January 5, 2026, the OECD announced a political and technical agreement by the Inclusive Framework on a comprehensive package for a “side-by-side arrangement” (the “Package”). The Package, in the form of administrative guidance, includes a new Simplified Effective Tax Rate Safe Harbour, a one-year extension of the Transitional Country-by-Country Reporting Safe Harbour, a new Substance-based Tax Incentive Safe Harbour and two Safe Harbours related to a Side-by-Side System. This administrative guidance will be incorporated into the Commentary to the Global Anti-Base Erosion Model Rules. The Company does not expect the Package to materially impact its effective tax rate, however, the Company continues to assess the impact of the Package, including future expected guidance from the OECD.</w:t>
      </w:r>
    </w:p>
    <w:p>
      <w:pPr>
        <w:spacing w:after="0" w:line="17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paid gross income taxes of $77 million and $56 million during the three months ended September 30, 2026 and 2025, respectively, and received tax refunds of $1 million in both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manages and reports its businesses in the following five segments:</w:t>
      </w:r>
    </w:p>
    <w:p>
      <w:pPr>
        <w:spacing w:after="0" w:line="221" w:lineRule="exact"/>
        <w:rPr>
          <w:sz w:val="20"/>
          <w:szCs w:val="20"/>
          <w:color w:val="auto"/>
        </w:rPr>
      </w:pPr>
    </w:p>
    <w:p>
      <w:pPr>
        <w:ind w:left="980" w:right="60" w:hanging="405"/>
        <w:spacing w:after="0" w:line="254" w:lineRule="auto"/>
        <w:tabs>
          <w:tab w:leader="none" w:pos="97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Dow Jones</w:t>
      </w:r>
      <w:r>
        <w:rPr>
          <w:rFonts w:ascii="Times New Roman" w:cs="Times New Roman" w:eastAsia="Times New Roman" w:hAnsi="Times New Roman"/>
          <w:sz w:val="18"/>
          <w:szCs w:val="18"/>
          <w:color w:val="auto"/>
        </w:rPr>
        <w:t>—The Dow Jones segment consists of Dow Jones, a global provider of news, data and business information whose products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individual consumers and enterprise customers and are distributed through a variety of media channels including websites, mobile apps, newspapers, newswires, newsletters, magazines, proprietary databases, live journalism, video and podcasts. Dow Jones’s news products include premier brands such as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Barron’s</w:t>
      </w:r>
      <w:r>
        <w:rPr>
          <w:rFonts w:ascii="Times New Roman" w:cs="Times New Roman" w:eastAsia="Times New Roman" w:hAnsi="Times New Roman"/>
          <w:sz w:val="18"/>
          <w:szCs w:val="18"/>
          <w:color w:val="auto"/>
        </w:rPr>
        <w:t xml:space="preserve">, MarketWatch and </w:t>
      </w:r>
      <w:r>
        <w:rPr>
          <w:rFonts w:ascii="Times New Roman" w:cs="Times New Roman" w:eastAsia="Times New Roman" w:hAnsi="Times New Roman"/>
          <w:sz w:val="18"/>
          <w:szCs w:val="18"/>
          <w:i w:val="1"/>
          <w:iCs w:val="1"/>
          <w:color w:val="auto"/>
        </w:rPr>
        <w:t>Investor’s Business Daily.</w:t>
      </w:r>
      <w:r>
        <w:rPr>
          <w:rFonts w:ascii="Times New Roman" w:cs="Times New Roman" w:eastAsia="Times New Roman" w:hAnsi="Times New Roman"/>
          <w:sz w:val="18"/>
          <w:szCs w:val="18"/>
          <w:color w:val="auto"/>
        </w:rPr>
        <w:t xml:space="preserve"> Dow Jones’s professional information products, which target enterprise customers, include Dow Jones Risk &amp; Compliance, a leading provider of data and other solutions to help customers identify and manage regulatory, corporate, geopolitical, security and reputational risk with tools focused on financial crime, sanctions, trade and other risks and compliance requirements, Dow Jones Energy, a leading provider of pricing data, news, insights, analysis and other information for energy commodities and key base chemicals, Factiva, a leading provider of global business content, and Dow Jones Newswires, which distributes real-time business news, information and analysis to financial professionals and investors.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381" w:lineRule="exact"/>
        <w:rPr>
          <w:sz w:val="20"/>
          <w:szCs w:val="20"/>
          <w:color w:val="auto"/>
        </w:rPr>
      </w:pPr>
    </w:p>
    <w:p>
      <w:pPr>
        <w:ind w:left="980" w:right="160" w:hanging="405"/>
        <w:spacing w:after="0" w:line="257" w:lineRule="auto"/>
        <w:tabs>
          <w:tab w:leader="none" w:pos="9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Digital Real Estate Services</w:t>
      </w:r>
      <w:r>
        <w:rPr>
          <w:rFonts w:ascii="Times New Roman" w:cs="Times New Roman" w:eastAsia="Times New Roman" w:hAnsi="Times New Roman"/>
          <w:sz w:val="18"/>
          <w:szCs w:val="18"/>
          <w:color w:val="auto"/>
        </w:rPr>
        <w:t>—The Digital Real Estate Services segment consists of the Company’s 62.0% interest in REA Group and 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 Move. The remaining 20% interest in Move is held by REA Group. REA Group is a market-leading digital media business specializing in property and is listed on the Australian Securities Exchange (“ASX”) (ASX: REA). REA Group advertises property and property-related services on its websites and mobile apps, including Australia’s leading residential, commercial and share property websites, realestate.com.au, realcommercial.com.au and Flatmates.com.au. In addition, REA Group provides financial services through a digital property search and financing experience, a mortgage broking offering and property-related data services to the financial sector.</w:t>
      </w:r>
    </w:p>
    <w:p>
      <w:pPr>
        <w:spacing w:after="0" w:line="78" w:lineRule="exact"/>
        <w:rPr>
          <w:rFonts w:ascii="Times New Roman" w:cs="Times New Roman" w:eastAsia="Times New Roman" w:hAnsi="Times New Roman"/>
          <w:sz w:val="18"/>
          <w:szCs w:val="18"/>
          <w:b w:val="1"/>
          <w:bCs w:val="1"/>
          <w:i w:val="1"/>
          <w:iCs w:val="1"/>
          <w:color w:val="auto"/>
        </w:rPr>
      </w:pPr>
    </w:p>
    <w:p>
      <w:pPr>
        <w:ind w:left="980" w:right="260"/>
        <w:spacing w:after="0" w:line="22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Move is a leading provider of digital real estate services in the U.S. and primarily operates Realtor.com</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a premier real estate information, advertising and services platform. Move offers real estate advertising solutions to agents and brokers, including its RealPRO Select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Connections</w:t>
      </w:r>
      <w:r>
        <w:rPr>
          <w:rFonts w:ascii="Times New Roman" w:cs="Times New Roman" w:eastAsia="Times New Roman" w:hAnsi="Times New Roman"/>
          <w:sz w:val="10"/>
          <w:szCs w:val="10"/>
          <w:color w:val="auto"/>
        </w:rPr>
        <w:t>SM</w:t>
      </w:r>
      <w:r>
        <w:rPr>
          <w:rFonts w:ascii="Times New Roman" w:cs="Times New Roman" w:eastAsia="Times New Roman" w:hAnsi="Times New Roman"/>
          <w:sz w:val="18"/>
          <w:szCs w:val="18"/>
          <w:color w:val="auto"/>
        </w:rPr>
        <w:t xml:space="preserve"> Plus and Listing Toolkit products as well as its referral-based services, including RealChoice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Selling. Move also offers Realtor.com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its collaborative home search platform that helps real estate professionals and consumers connect, as well as online tools and services to do-it-yourself landlords and tenants.</w:t>
      </w:r>
    </w:p>
    <w:p>
      <w:pPr>
        <w:spacing w:after="0" w:line="86" w:lineRule="exact"/>
        <w:rPr>
          <w:rFonts w:ascii="Times New Roman" w:cs="Times New Roman" w:eastAsia="Times New Roman" w:hAnsi="Times New Roman"/>
          <w:sz w:val="18"/>
          <w:szCs w:val="18"/>
          <w:b w:val="1"/>
          <w:bCs w:val="1"/>
          <w:i w:val="1"/>
          <w:iCs w:val="1"/>
          <w:color w:val="auto"/>
        </w:rPr>
      </w:pPr>
    </w:p>
    <w:p>
      <w:pPr>
        <w:ind w:left="980" w:right="20" w:hanging="405"/>
        <w:spacing w:after="0" w:line="257" w:lineRule="auto"/>
        <w:tabs>
          <w:tab w:leader="none" w:pos="9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Book Publishing</w:t>
      </w:r>
      <w:r>
        <w:rPr>
          <w:rFonts w:ascii="Times New Roman" w:cs="Times New Roman" w:eastAsia="Times New Roman" w:hAnsi="Times New Roman"/>
          <w:sz w:val="18"/>
          <w:szCs w:val="18"/>
          <w:color w:val="auto"/>
        </w:rPr>
        <w:t>—The Book Publishing segment consists of HarperCollins, the second largest consumer book publisher in the world,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in 15 countries and particular strengths in general fiction, nonfiction, children’s and religious publishing. HarperCollins owns more than 120 branded publishing imprints, including Harper, William Morrow, Mariner, HarperCollins Children’s Books, Avon, Harlequin and Christian publishers Zondervan and Thomas Nelson, and publishes works by well-known authors such as Harper Lee, George Orwell, Agatha Christie and Zora Neale Hurston, as well as global author brands including J.R.R. Tolkien, C.S. Lewis, Daniel Silva, Karin Slaughter and Dr. Martin Luther King, Jr. It is home to many beloved children’s books and series and a significant Christian publishing business.</w:t>
      </w:r>
    </w:p>
    <w:p>
      <w:pPr>
        <w:spacing w:after="0" w:line="74" w:lineRule="exact"/>
        <w:rPr>
          <w:rFonts w:ascii="Times New Roman" w:cs="Times New Roman" w:eastAsia="Times New Roman" w:hAnsi="Times New Roman"/>
          <w:sz w:val="18"/>
          <w:szCs w:val="18"/>
          <w:b w:val="1"/>
          <w:bCs w:val="1"/>
          <w:i w:val="1"/>
          <w:iCs w:val="1"/>
          <w:color w:val="auto"/>
        </w:rPr>
      </w:pPr>
    </w:p>
    <w:p>
      <w:pPr>
        <w:ind w:left="980" w:hanging="405"/>
        <w:spacing w:after="0" w:line="259" w:lineRule="auto"/>
        <w:tabs>
          <w:tab w:leader="none" w:pos="9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News Media</w:t>
      </w:r>
      <w:r>
        <w:rPr>
          <w:rFonts w:ascii="Times New Roman" w:cs="Times New Roman" w:eastAsia="Times New Roman" w:hAnsi="Times New Roman"/>
          <w:sz w:val="18"/>
          <w:szCs w:val="18"/>
          <w:color w:val="auto"/>
        </w:rPr>
        <w:t>—The News Media segment consists primarily of News Corp Australia, News UK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New York Post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Australian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Daily Telegraph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Herald Sun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Courier Mail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Advertiser </w:t>
      </w:r>
      <w:r>
        <w:rPr>
          <w:rFonts w:ascii="Times New Roman" w:cs="Times New Roman" w:eastAsia="Times New Roman" w:hAnsi="Times New Roman"/>
          <w:sz w:val="18"/>
          <w:szCs w:val="18"/>
          <w:color w:val="auto"/>
        </w:rPr>
        <w:t>and the news.com.au website in Australia,</w:t>
      </w:r>
      <w:r>
        <w:rPr>
          <w:rFonts w:ascii="Times New Roman" w:cs="Times New Roman" w:eastAsia="Times New Roman" w:hAnsi="Times New Roman"/>
          <w:sz w:val="18"/>
          <w:szCs w:val="18"/>
          <w:i w:val="1"/>
          <w:iCs w:val="1"/>
          <w:color w:val="auto"/>
        </w:rPr>
        <w:t xml:space="preserve"> The Times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Sunday Times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Sun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Sun on Sunday </w:t>
      </w:r>
      <w:r>
        <w:rPr>
          <w:rFonts w:ascii="Times New Roman" w:cs="Times New Roman" w:eastAsia="Times New Roman" w:hAnsi="Times New Roman"/>
          <w:sz w:val="18"/>
          <w:szCs w:val="18"/>
          <w:color w:val="auto"/>
        </w:rPr>
        <w:t>and thesun.co.uk in the U.K. and the-sun.com in the U.S. This segment also includes News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Broadcasting, operator of talkSPORT, the leading sports radio network in the U.K., and Australian News Channel, which operates the News24 network, Australia’s 24-hour multi-channel, multi-platform news service.</w:t>
      </w:r>
    </w:p>
    <w:p>
      <w:pPr>
        <w:spacing w:after="0" w:line="71" w:lineRule="exact"/>
        <w:rPr>
          <w:rFonts w:ascii="Times New Roman" w:cs="Times New Roman" w:eastAsia="Times New Roman" w:hAnsi="Times New Roman"/>
          <w:sz w:val="18"/>
          <w:szCs w:val="18"/>
          <w:b w:val="1"/>
          <w:bCs w:val="1"/>
          <w:i w:val="1"/>
          <w:iCs w:val="1"/>
          <w:color w:val="auto"/>
        </w:rPr>
      </w:pPr>
    </w:p>
    <w:p>
      <w:pPr>
        <w:ind w:left="980" w:right="40" w:hanging="405"/>
        <w:spacing w:after="0" w:line="286" w:lineRule="auto"/>
        <w:tabs>
          <w:tab w:leader="none" w:pos="9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—The Other segment consists primarily of general corporate overhead expenses, strategy costs and costs related to the U.K. Newspaper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Segment EBITDA is the primary measure used by the Company’s CODM to evaluate the performance of, and allocate resources within, the Company’s businesses. The CODM uses Segment EBITDA to compare actual results to budget and uses this information to, among other things, allocate resources such as incentive compensation to segment managers. Segment EBITDA is defined as revenues less operating expenses and selling, general and administrative expenses. Segment EBITDA does not include: depreciation and amortization, impairment and restructuring charges, equity losses of affiliates, interest (expense) income, net, other, net and income tax (expense) benefit. Segment EBITDA may not be comparable to similarly titled measures reported by other companies, since companies and investors may differ as to what items should be included in the calculation of Segment EBITDA. Segment EBITDA provides management, investors and equity analysts with a measure to analyze the operating performance of each of the Company’s business segments and its enterprise value against historical data and competitors’ data, although historical results may not be indicative of future results (as operating performance is highly contingent on many factors, including customer tastes and preferences).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is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gridSpan w:val="9"/>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Dow Jones</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Digital Real</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Book Publishing</w:t>
            </w:r>
          </w:p>
        </w:tc>
        <w:tc>
          <w:tcPr>
            <w:tcW w:w="160" w:type="dxa"/>
            <w:vAlign w:val="bottom"/>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News Media</w:t>
            </w:r>
          </w:p>
        </w:tc>
        <w:tc>
          <w:tcPr>
            <w:tcW w:w="28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Estate Services</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information:</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Significant segment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960" w:type="dxa"/>
            <w:vAlign w:val="bottom"/>
          </w:tcPr>
          <w:p>
            <w:pPr>
              <w:jc w:val="center"/>
              <w:ind w:left="434"/>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Segment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losses of affiliates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20" w:type="dxa"/>
            <w:vAlign w:val="bottom"/>
            <w:gridSpan w:val="9"/>
            <w:vMerge w:val="restart"/>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9"/>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Dow Jones</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Digital Real</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Book Publishing</w:t>
            </w:r>
          </w:p>
        </w:tc>
        <w:tc>
          <w:tcPr>
            <w:tcW w:w="160" w:type="dxa"/>
            <w:vAlign w:val="bottom"/>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News Media</w:t>
            </w:r>
          </w:p>
        </w:tc>
        <w:tc>
          <w:tcPr>
            <w:tcW w:w="28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Estate Services</w:t>
            </w:r>
          </w:p>
        </w:tc>
        <w:tc>
          <w:tcPr>
            <w:tcW w:w="12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information:</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Significant segment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960" w:type="dxa"/>
            <w:vAlign w:val="bottom"/>
          </w:tcPr>
          <w:p>
            <w:pPr>
              <w:jc w:val="center"/>
              <w:ind w:left="434"/>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Segment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losses of affiliates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right"/>
              <w:ind w:right="377"/>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3"/>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p>
      <w:pPr>
        <w:spacing w:after="0" w:line="6"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80" w:type="dxa"/>
            <w:vAlign w:val="bottom"/>
            <w:tcBorders>
              <w:top w:val="single" w:sz="8" w:color="auto"/>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7"/>
                <w:szCs w:val="17"/>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 Jones</w:t>
            </w: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Digital Real Estate Services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 Publishing</w:t>
            </w: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News Media</w:t>
            </w:r>
          </w:p>
        </w:tc>
        <w:tc>
          <w:tcPr>
            <w:tcW w:w="34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46"/>
        </w:trPr>
        <w:tc>
          <w:tcPr>
            <w:tcW w:w="6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r>
      <w:tr>
        <w:trPr>
          <w:trHeight w:val="196"/>
        </w:trPr>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Borders>
              <w:bottom w:val="single" w:sz="8" w:color="auto"/>
            </w:tcBorders>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7"/>
                <w:szCs w:val="17"/>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 Jones</w:t>
            </w: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Digital Real Estate Services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 Publishing</w:t>
            </w: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News Media</w:t>
            </w:r>
          </w:p>
        </w:tc>
        <w:tc>
          <w:tcPr>
            <w:tcW w:w="34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327"/>
        </w:trPr>
        <w:tc>
          <w:tcPr>
            <w:tcW w:w="6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0" w:type="dxa"/>
            <w:vAlign w:val="bottom"/>
          </w:tcPr>
          <w:p>
            <w:pPr>
              <w:spacing w:after="0"/>
              <w:rPr>
                <w:sz w:val="24"/>
                <w:szCs w:val="24"/>
                <w:color w:val="auto"/>
              </w:rPr>
            </w:pPr>
          </w:p>
        </w:tc>
      </w:tr>
      <w:tr>
        <w:trPr>
          <w:trHeight w:val="195"/>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June 30, 2026</w:t>
            </w:r>
          </w:p>
        </w:tc>
      </w:tr>
      <w:tr>
        <w:trPr>
          <w:trHeight w:val="195"/>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ind w:left="1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 Jones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Digital Real Estate Services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 Publishing</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News Media</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29"/>
        </w:trPr>
        <w:tc>
          <w:tcPr>
            <w:tcW w:w="6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15,544</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segment primarily includes Cash and cash equivalents.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8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 Jones</w:t>
            </w:r>
          </w:p>
        </w:tc>
        <w:tc>
          <w:tcPr>
            <w:tcW w:w="4100" w:type="dxa"/>
            <w:vAlign w:val="bottom"/>
            <w:gridSpan w:val="2"/>
          </w:tcPr>
          <w:p>
            <w:pPr>
              <w:jc w:val="right"/>
              <w:ind w:right="15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Digital Real Estate Services</w:t>
            </w:r>
          </w:p>
        </w:tc>
        <w:tc>
          <w:tcPr>
            <w:tcW w:w="2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29"/>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 Publishing</w:t>
            </w:r>
          </w:p>
        </w:tc>
        <w:tc>
          <w:tcPr>
            <w:tcW w:w="2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News Media</w:t>
            </w:r>
          </w:p>
        </w:tc>
        <w:tc>
          <w:tcPr>
            <w:tcW w:w="23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Goodwill and intangible assets, net</w:t>
            </w:r>
          </w:p>
        </w:tc>
        <w:tc>
          <w:tcPr>
            <w:tcW w:w="2320" w:type="dxa"/>
            <w:vAlign w:val="bottom"/>
          </w:tcPr>
          <w:p>
            <w:pPr>
              <w:spacing w:after="0"/>
              <w:rPr>
                <w:sz w:val="19"/>
                <w:szCs w:val="19"/>
                <w:color w:val="auto"/>
              </w:rPr>
            </w:pPr>
          </w:p>
        </w:tc>
        <w:tc>
          <w:tcPr>
            <w:tcW w:w="1780" w:type="dxa"/>
            <w:vAlign w:val="bottom"/>
            <w:tcBorders>
              <w:bottom w:val="single" w:sz="8" w:color="auto"/>
            </w:tcBorders>
          </w:tcPr>
          <w:p>
            <w:pPr>
              <w:jc w:val="right"/>
              <w:ind w:right="15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32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20</w:t>
            </w:r>
          </w:p>
        </w:tc>
        <w:tc>
          <w:tcPr>
            <w:tcW w:w="1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2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ADDITIONAL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net</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Receivables are presented net of allowances, which reflect the Company’s expected credit losses based on historical experience as well as current and expected economic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net consist of:</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8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900" w:type="dxa"/>
            <w:vAlign w:val="bottom"/>
            <w:gridSpan w:val="2"/>
            <w:shd w:val="clear" w:color="auto" w:fill="CCEEFF"/>
          </w:tcPr>
          <w:p>
            <w:pPr>
              <w:jc w:val="right"/>
              <w:ind w:right="15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allowances</w:t>
            </w:r>
          </w:p>
        </w:tc>
        <w:tc>
          <w:tcPr>
            <w:tcW w:w="1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15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tc>
        <w:tc>
          <w:tcPr>
            <w:tcW w:w="1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4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Other non-current assets:</w:t>
            </w: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advances to authors</w:t>
            </w:r>
          </w:p>
        </w:tc>
        <w:tc>
          <w:tcPr>
            <w:tcW w:w="2900" w:type="dxa"/>
            <w:vAlign w:val="bottom"/>
            <w:gridSpan w:val="2"/>
            <w:shd w:val="clear" w:color="auto" w:fill="CCEEFF"/>
          </w:tcPr>
          <w:p>
            <w:pPr>
              <w:jc w:val="right"/>
              <w:ind w:right="15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receivables</w:t>
            </w:r>
          </w:p>
        </w:tc>
        <w:tc>
          <w:tcPr>
            <w:tcW w:w="1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 assets</w:t>
            </w:r>
          </w:p>
        </w:tc>
        <w:tc>
          <w:tcPr>
            <w:tcW w:w="1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15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1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4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Other current liabilities:</w:t>
            </w: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8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60" w:type="dxa"/>
            <w:vAlign w:val="bottom"/>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 and commissions payable</w:t>
            </w:r>
          </w:p>
        </w:tc>
        <w:tc>
          <w:tcPr>
            <w:tcW w:w="2900" w:type="dxa"/>
            <w:vAlign w:val="bottom"/>
            <w:gridSpan w:val="2"/>
            <w:shd w:val="clear" w:color="auto" w:fill="CCEEFF"/>
          </w:tcPr>
          <w:p>
            <w:pPr>
              <w:jc w:val="right"/>
              <w:ind w:right="15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1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15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21</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Other, net: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406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6560" w:type="dxa"/>
            <w:vAlign w:val="bottom"/>
          </w:tcPr>
          <w:p>
            <w:pPr>
              <w:spacing w:after="0"/>
              <w:rPr>
                <w:sz w:val="16"/>
                <w:szCs w:val="16"/>
                <w:color w:val="auto"/>
              </w:rPr>
            </w:pPr>
          </w:p>
        </w:tc>
        <w:tc>
          <w:tcPr>
            <w:tcW w:w="16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r>
      <w:tr>
        <w:trPr>
          <w:trHeight w:val="196"/>
        </w:trPr>
        <w:tc>
          <w:tcPr>
            <w:tcW w:w="6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20" w:type="dxa"/>
            <w:vAlign w:val="bottom"/>
            <w:gridSpan w:val="3"/>
          </w:tcPr>
          <w:p>
            <w:pPr>
              <w:jc w:val="right"/>
              <w:ind w:right="12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7"/>
                <w:szCs w:val="17"/>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of equity securities</w:t>
            </w:r>
          </w:p>
        </w:tc>
        <w:tc>
          <w:tcPr>
            <w:tcW w:w="1640" w:type="dxa"/>
            <w:vAlign w:val="bottom"/>
            <w:shd w:val="clear" w:color="auto" w:fill="CCEEFF"/>
          </w:tcPr>
          <w:p>
            <w:pPr>
              <w:jc w:val="right"/>
              <w:ind w:right="14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Gain on sale of businesses</w:t>
            </w:r>
            <w:r>
              <w:rPr>
                <w:rFonts w:ascii="Times New Roman" w:cs="Times New Roman" w:eastAsia="Times New Roman" w:hAnsi="Times New Roman"/>
                <w:sz w:val="23"/>
                <w:szCs w:val="23"/>
                <w:color w:val="auto"/>
                <w:vertAlign w:val="superscript"/>
              </w:rPr>
              <w:t>(a)</w:t>
            </w:r>
          </w:p>
        </w:tc>
        <w:tc>
          <w:tcPr>
            <w:tcW w:w="1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net</w:t>
            </w:r>
          </w:p>
        </w:tc>
        <w:tc>
          <w:tcPr>
            <w:tcW w:w="1640" w:type="dxa"/>
            <w:vAlign w:val="bottom"/>
            <w:tcBorders>
              <w:top w:val="single" w:sz="8" w:color="auto"/>
              <w:bottom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
        </w:trPr>
        <w:tc>
          <w:tcPr>
            <w:tcW w:w="65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the gain on REA Group’s sale of REA India’s remaining business during the three months ended September 30, 2026.</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cash paid for interest and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6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20" w:type="dxa"/>
            <w:vAlign w:val="bottom"/>
          </w:tcPr>
          <w:p>
            <w:pPr>
              <w:spacing w:after="0"/>
              <w:rPr>
                <w:sz w:val="16"/>
                <w:szCs w:val="16"/>
                <w:color w:val="auto"/>
              </w:rPr>
            </w:pPr>
          </w:p>
        </w:tc>
      </w:tr>
      <w:tr>
        <w:trPr>
          <w:trHeight w:val="23"/>
        </w:trPr>
        <w:tc>
          <w:tcPr>
            <w:tcW w:w="3560" w:type="dxa"/>
            <w:vAlign w:val="bottom"/>
          </w:tcPr>
          <w:p>
            <w:pPr>
              <w:spacing w:after="0"/>
              <w:rPr>
                <w:sz w:val="2"/>
                <w:szCs w:val="2"/>
                <w:color w:val="auto"/>
              </w:rPr>
            </w:pPr>
          </w:p>
        </w:tc>
        <w:tc>
          <w:tcPr>
            <w:tcW w:w="46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0"/>
        </w:trPr>
        <w:tc>
          <w:tcPr>
            <w:tcW w:w="3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bottom w:val="single" w:sz="8" w:color="auto"/>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6"/>
                <w:szCs w:val="16"/>
                <w:color w:val="auto"/>
              </w:rPr>
            </w:pPr>
          </w:p>
        </w:tc>
      </w:tr>
      <w:tr>
        <w:trPr>
          <w:trHeight w:val="196"/>
        </w:trPr>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20" w:type="dxa"/>
            <w:vAlign w:val="bottom"/>
            <w:gridSpan w:val="2"/>
          </w:tcPr>
          <w:p>
            <w:pPr>
              <w:jc w:val="right"/>
              <w:ind w:right="12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7"/>
                <w:szCs w:val="17"/>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640" w:type="dxa"/>
            <w:vAlign w:val="bottom"/>
            <w:gridSpan w:val="2"/>
            <w:shd w:val="clear" w:color="auto" w:fill="CCEEFF"/>
          </w:tcPr>
          <w:p>
            <w:pPr>
              <w:jc w:val="right"/>
              <w:ind w:right="14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c>
          <w:tcPr>
            <w:tcW w:w="1740" w:type="dxa"/>
            <w:vAlign w:val="bottom"/>
            <w:shd w:val="clear" w:color="auto" w:fill="CCEEFF"/>
          </w:tcPr>
          <w:p>
            <w:pPr>
              <w:jc w:val="right"/>
              <w:ind w:right="14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4640" w:type="dxa"/>
            <w:vAlign w:val="bottom"/>
            <w:gridSpan w:val="2"/>
          </w:tcPr>
          <w:p>
            <w:pPr>
              <w:jc w:val="right"/>
              <w:ind w:right="14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77</w:t>
            </w:r>
          </w:p>
        </w:tc>
        <w:tc>
          <w:tcPr>
            <w:tcW w:w="1740" w:type="dxa"/>
            <w:vAlign w:val="bottom"/>
          </w:tcPr>
          <w:p>
            <w:pPr>
              <w:jc w:val="right"/>
              <w:ind w:right="14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900"/>
        </w:trPr>
        <w:tc>
          <w:tcPr>
            <w:tcW w:w="3560" w:type="dxa"/>
            <w:vAlign w:val="bottom"/>
          </w:tcPr>
          <w:p>
            <w:pPr>
              <w:spacing w:after="0"/>
              <w:rPr>
                <w:sz w:val="24"/>
                <w:szCs w:val="24"/>
                <w:color w:val="auto"/>
              </w:rPr>
            </w:pPr>
          </w:p>
        </w:tc>
        <w:tc>
          <w:tcPr>
            <w:tcW w:w="30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22</w:t>
            </w: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document, including the following discussion and analysis, contains statements that constitute “forward-looking statements” within the meaning of Section 21E of the Securities Exchange Act of 1934, as amended (the “Exchange Act”), and Section 27A of the Securities Act of 1933, as amended. All statements that are not statements of historical fact are forward-looking statements. The words “expect,” “will,” “estimate,” “anticipate,” “predict,” “believe,” “should” and similar expressions and variations thereof are intended to identify forward-looking statements. These statements appear in a number of places in this discussion and analysis and include statements regarding the intent, belief or current expectations of the Company, its directors or its officers with respect to, among other things, trends affecting the Company’s business, financial condition or results of operations, the Company’s strategy and strategic initiatives, including potential acquisitions, investments and dispositions, the Company’s cost savings initiatives and the outcome of contingencies such as litigation and investigations. Readers are cautioned that any forward-looking statements are not guarantees of future performance and involve risks and uncertainties. More information regarding these risks and uncertainties and other important factors that could cause actual results to differ materially from those in the forward-looking statements is set forth under the heading “Risk Factors” in Part I, Item 1A. in News Corporation’s Annual Report on Form 10-K for the fiscal year ended June 30, 2026, as filed with the Securities and Exchange Commission (the “SEC”) on August 7, 2026 (the “2026 Form 10-K”), and as may be updated in this and other subsequent Quarterly Reports on Form 10-Q. The Company does not ordinarily make projections of its future operating results and undertakes no obligation (and expressly disclaims any obligation) to publicly update or revise any forward-looking statements, whether as a result of new information, future events or otherwise, except as required by law. Readers should carefully review this document and the other documents filed by the Company with the SEC. This section should be read together with the unaudited consolidated financial statements of News Corporation and related notes set forth elsewhere herein and the audited consolidated financial statements of News Corporation and related notes set forth in the 2026 Form 10-K.</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News Corporation (together with its subsidiaries, “News Corporation,” “News Corp,” the “Company,” “we” or “us”) is a global diversified media and information services company comprised of businesses across a range of media, including: information services and news, digital real estate services and book publishing.</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unaudited consolidated financial statements are referred to herein as the “Consolidated Financial Statements.” The consolidated statements of operations are referred to herein as the “Statements of Operations.” The consolidated balance sheets are referred to herein as the “Balance Sheets.” The consolidated statements of cash flows are referred to herein as the “Statements of Cash Flows.” The Consolidated Financial Statements have been prepared in accordance with generally accepted accounting principles in the United States of America (“GAAP”).</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intended to help provide an understanding of the Company’s financial condition, changes in financial condition and results of operations. This discussion is organized as follows:</w:t>
      </w:r>
    </w:p>
    <w:p>
      <w:pPr>
        <w:spacing w:after="0" w:line="158" w:lineRule="exact"/>
        <w:rPr>
          <w:sz w:val="20"/>
          <w:szCs w:val="20"/>
          <w:color w:val="auto"/>
        </w:rPr>
      </w:pPr>
    </w:p>
    <w:p>
      <w:pPr>
        <w:ind w:left="980" w:right="140" w:hanging="405"/>
        <w:spacing w:after="0" w:line="268" w:lineRule="auto"/>
        <w:tabs>
          <w:tab w:leader="none" w:pos="97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Overview of the Company’s Businesses</w:t>
      </w:r>
      <w:r>
        <w:rPr>
          <w:rFonts w:ascii="Times New Roman" w:cs="Times New Roman" w:eastAsia="Times New Roman" w:hAnsi="Times New Roman"/>
          <w:sz w:val="18"/>
          <w:szCs w:val="18"/>
          <w:color w:val="auto"/>
        </w:rPr>
        <w:t>—This section provides a general description of the Company’s businesses, as well as developments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occurred to date during fiscal 2027 that the Company believes are important in understanding its results of operations and financial condition or to disclose known trends.</w:t>
      </w:r>
    </w:p>
    <w:p>
      <w:pPr>
        <w:spacing w:after="0" w:line="62" w:lineRule="exact"/>
        <w:rPr>
          <w:rFonts w:ascii="Times New Roman" w:cs="Times New Roman" w:eastAsia="Times New Roman" w:hAnsi="Times New Roman"/>
          <w:sz w:val="18"/>
          <w:szCs w:val="18"/>
          <w:b w:val="1"/>
          <w:bCs w:val="1"/>
          <w:i w:val="1"/>
          <w:iCs w:val="1"/>
          <w:color w:val="auto"/>
        </w:rPr>
      </w:pPr>
    </w:p>
    <w:p>
      <w:pPr>
        <w:ind w:left="980" w:right="200" w:hanging="405"/>
        <w:spacing w:after="0" w:line="268" w:lineRule="auto"/>
        <w:tabs>
          <w:tab w:leader="none" w:pos="97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Results of Operations</w:t>
      </w:r>
      <w:r>
        <w:rPr>
          <w:rFonts w:ascii="Times New Roman" w:cs="Times New Roman" w:eastAsia="Times New Roman" w:hAnsi="Times New Roman"/>
          <w:sz w:val="18"/>
          <w:szCs w:val="18"/>
          <w:color w:val="auto"/>
        </w:rPr>
        <w:t>—This section provides an analysis of the Company’s results of operations for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and 2025. This analysis is presented on both a consolidated basis and a segment basis. In addition, a brief description is provided of significant transactions and events that impact the comparability of the results being analyzed.</w:t>
      </w:r>
    </w:p>
    <w:p>
      <w:pPr>
        <w:spacing w:after="0" w:line="62" w:lineRule="exact"/>
        <w:rPr>
          <w:rFonts w:ascii="Times New Roman" w:cs="Times New Roman" w:eastAsia="Times New Roman" w:hAnsi="Times New Roman"/>
          <w:sz w:val="18"/>
          <w:szCs w:val="18"/>
          <w:b w:val="1"/>
          <w:bCs w:val="1"/>
          <w:i w:val="1"/>
          <w:iCs w:val="1"/>
          <w:color w:val="auto"/>
        </w:rPr>
      </w:pPr>
    </w:p>
    <w:p>
      <w:pPr>
        <w:ind w:left="980" w:hanging="405"/>
        <w:spacing w:after="0" w:line="268" w:lineRule="auto"/>
        <w:tabs>
          <w:tab w:leader="none" w:pos="97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—This section provides an analysis of the Company’s cash flows for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and 2025, as well as a discussion of the Company’s financial arrangements and outstanding commitments, both firm and contingent, that existed as of September 30, 2026.</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COMPANY’S BUSINESSES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manages and reports its businesses in the following five segments:</w:t>
      </w:r>
    </w:p>
    <w:p>
      <w:pPr>
        <w:spacing w:after="0" w:line="221" w:lineRule="exact"/>
        <w:rPr>
          <w:sz w:val="20"/>
          <w:szCs w:val="20"/>
          <w:color w:val="auto"/>
        </w:rPr>
      </w:pPr>
    </w:p>
    <w:p>
      <w:pPr>
        <w:ind w:left="980" w:right="60" w:hanging="405"/>
        <w:spacing w:after="0" w:line="254" w:lineRule="auto"/>
        <w:tabs>
          <w:tab w:leader="none" w:pos="97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Dow Jones</w:t>
      </w:r>
      <w:r>
        <w:rPr>
          <w:rFonts w:ascii="Times New Roman" w:cs="Times New Roman" w:eastAsia="Times New Roman" w:hAnsi="Times New Roman"/>
          <w:sz w:val="18"/>
          <w:szCs w:val="18"/>
          <w:color w:val="auto"/>
        </w:rPr>
        <w:t>—The Dow Jones segment consists of Dow Jones, a global provider of news, data and business information whose products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individual consumers and enterprise customers and are distributed through a variety of media channels including websites, mobile apps, newspapers, newswires, newsletters, magazines, proprietary databases, live journalism, video and podcasts. Dow Jones’s news products include premier brands such as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Barron’s</w:t>
      </w:r>
      <w:r>
        <w:rPr>
          <w:rFonts w:ascii="Times New Roman" w:cs="Times New Roman" w:eastAsia="Times New Roman" w:hAnsi="Times New Roman"/>
          <w:sz w:val="18"/>
          <w:szCs w:val="18"/>
          <w:color w:val="auto"/>
        </w:rPr>
        <w:t xml:space="preserve">, MarketWatch and </w:t>
      </w:r>
      <w:r>
        <w:rPr>
          <w:rFonts w:ascii="Times New Roman" w:cs="Times New Roman" w:eastAsia="Times New Roman" w:hAnsi="Times New Roman"/>
          <w:sz w:val="18"/>
          <w:szCs w:val="18"/>
          <w:i w:val="1"/>
          <w:iCs w:val="1"/>
          <w:color w:val="auto"/>
        </w:rPr>
        <w:t>Investor’s Business Daily.</w:t>
      </w:r>
      <w:r>
        <w:rPr>
          <w:rFonts w:ascii="Times New Roman" w:cs="Times New Roman" w:eastAsia="Times New Roman" w:hAnsi="Times New Roman"/>
          <w:sz w:val="18"/>
          <w:szCs w:val="18"/>
          <w:color w:val="auto"/>
        </w:rPr>
        <w:t xml:space="preserve"> Dow Jones’s professional information products, which target enterprise customers, include Dow Jones Risk &amp; Compliance, a leading provider of data and other solutions to help customers identify and manage regulatory, corporate, geopolitical, security and reputational risk with tools focused on financial crime, sanctions, trade and other risks and compliance requirements, Dow Jones Energy, a leading provider of pricing data, news, insights, analysis and other information for energy commodities and key base chemicals, Factiva, a leading provider of global business content, and Dow Jones Newswires, which distributes real-time business news, information and analysis to financial professionals and investors.</w:t>
      </w:r>
    </w:p>
    <w:p>
      <w:pPr>
        <w:spacing w:after="0" w:line="77" w:lineRule="exact"/>
        <w:rPr>
          <w:rFonts w:ascii="Times New Roman" w:cs="Times New Roman" w:eastAsia="Times New Roman" w:hAnsi="Times New Roman"/>
          <w:sz w:val="18"/>
          <w:szCs w:val="18"/>
          <w:b w:val="1"/>
          <w:bCs w:val="1"/>
          <w:i w:val="1"/>
          <w:iCs w:val="1"/>
          <w:color w:val="auto"/>
        </w:rPr>
      </w:pPr>
    </w:p>
    <w:p>
      <w:pPr>
        <w:ind w:left="980" w:right="160" w:hanging="405"/>
        <w:spacing w:after="0" w:line="257" w:lineRule="auto"/>
        <w:tabs>
          <w:tab w:leader="none" w:pos="97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Digital Real Estate Services</w:t>
      </w:r>
      <w:r>
        <w:rPr>
          <w:rFonts w:ascii="Times New Roman" w:cs="Times New Roman" w:eastAsia="Times New Roman" w:hAnsi="Times New Roman"/>
          <w:sz w:val="18"/>
          <w:szCs w:val="18"/>
          <w:color w:val="auto"/>
        </w:rPr>
        <w:t>—The Digital Real Estate Services segment consists of the Company’s 62.0% interest in REA Group and 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 Move. The remaining 20% interest in Move is held by REA Group. REA Group is a market-leading digital media business specializing in property and is listed on the Australian Securities Exchange (“ASX”) (ASX: REA). REA Group advertises property and property-related services on its websites and mobile apps, including Australia’s leading residential, commercial and share property websites, realestate.com.au, realcommercial.com.au and Flatmates.com.au. In addition, REA Group provides financial services through a digital property search and financing experience, a mortgage broking offering and property-related data services to the financial sector.</w:t>
      </w:r>
    </w:p>
    <w:p>
      <w:pPr>
        <w:spacing w:after="0" w:line="78" w:lineRule="exact"/>
        <w:rPr>
          <w:rFonts w:ascii="Times New Roman" w:cs="Times New Roman" w:eastAsia="Times New Roman" w:hAnsi="Times New Roman"/>
          <w:sz w:val="18"/>
          <w:szCs w:val="18"/>
          <w:b w:val="1"/>
          <w:bCs w:val="1"/>
          <w:i w:val="1"/>
          <w:iCs w:val="1"/>
          <w:color w:val="auto"/>
        </w:rPr>
      </w:pPr>
    </w:p>
    <w:p>
      <w:pPr>
        <w:ind w:left="980" w:right="260"/>
        <w:spacing w:after="0" w:line="24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Move is a leading provider of digital real estate services in the U.S. and primarily operates Realtor.com</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a premier real estate information, advertising and services platform. Move offers real estate advertising solutions to agents and brokers, including its RealPRO Select</w:t>
      </w:r>
      <w:r>
        <w:rPr>
          <w:rFonts w:ascii="Times New Roman" w:cs="Times New Roman" w:eastAsia="Times New Roman" w:hAnsi="Times New Roman"/>
          <w:sz w:val="10"/>
          <w:szCs w:val="10"/>
          <w:color w:val="auto"/>
        </w:rPr>
        <w:t>SM</w:t>
      </w:r>
      <w:r>
        <w:rPr>
          <w:rFonts w:ascii="Times New Roman" w:cs="Times New Roman" w:eastAsia="Times New Roman" w:hAnsi="Times New Roman"/>
          <w:sz w:val="18"/>
          <w:szCs w:val="18"/>
          <w:color w:val="auto"/>
        </w:rPr>
        <w:t>, Connections</w:t>
      </w:r>
      <w:r>
        <w:rPr>
          <w:rFonts w:ascii="Times New Roman" w:cs="Times New Roman" w:eastAsia="Times New Roman" w:hAnsi="Times New Roman"/>
          <w:sz w:val="10"/>
          <w:szCs w:val="10"/>
          <w:color w:val="auto"/>
        </w:rPr>
        <w:t>SM</w:t>
      </w:r>
      <w:r>
        <w:rPr>
          <w:rFonts w:ascii="Times New Roman" w:cs="Times New Roman" w:eastAsia="Times New Roman" w:hAnsi="Times New Roman"/>
          <w:sz w:val="18"/>
          <w:szCs w:val="18"/>
          <w:color w:val="auto"/>
        </w:rPr>
        <w:t xml:space="preserve"> Plus and Listing Toolkit products as well as its referral-based services, including RealChoice</w:t>
      </w:r>
      <w:r>
        <w:rPr>
          <w:rFonts w:ascii="Times New Roman" w:cs="Times New Roman" w:eastAsia="Times New Roman" w:hAnsi="Times New Roman"/>
          <w:sz w:val="10"/>
          <w:szCs w:val="10"/>
          <w:color w:val="auto"/>
        </w:rPr>
        <w:t>TM</w:t>
      </w:r>
      <w:r>
        <w:rPr>
          <w:rFonts w:ascii="Times New Roman" w:cs="Times New Roman" w:eastAsia="Times New Roman" w:hAnsi="Times New Roman"/>
          <w:sz w:val="18"/>
          <w:szCs w:val="18"/>
          <w:color w:val="auto"/>
        </w:rPr>
        <w:t xml:space="preserve"> Selling. Move also offers Realtor.com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its collaborative home search platform that helps real estate professionals and consumers connect, as well as online tools and services to do-it-yourself landlords and tenants.</w:t>
      </w:r>
    </w:p>
    <w:p>
      <w:pPr>
        <w:spacing w:after="0" w:line="87" w:lineRule="exact"/>
        <w:rPr>
          <w:rFonts w:ascii="Times New Roman" w:cs="Times New Roman" w:eastAsia="Times New Roman" w:hAnsi="Times New Roman"/>
          <w:sz w:val="18"/>
          <w:szCs w:val="18"/>
          <w:b w:val="1"/>
          <w:bCs w:val="1"/>
          <w:i w:val="1"/>
          <w:iCs w:val="1"/>
          <w:color w:val="auto"/>
        </w:rPr>
      </w:pPr>
    </w:p>
    <w:p>
      <w:pPr>
        <w:ind w:left="980" w:right="20" w:hanging="405"/>
        <w:spacing w:after="0" w:line="257" w:lineRule="auto"/>
        <w:tabs>
          <w:tab w:leader="none" w:pos="97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Book Publishing</w:t>
      </w:r>
      <w:r>
        <w:rPr>
          <w:rFonts w:ascii="Times New Roman" w:cs="Times New Roman" w:eastAsia="Times New Roman" w:hAnsi="Times New Roman"/>
          <w:sz w:val="18"/>
          <w:szCs w:val="18"/>
          <w:color w:val="auto"/>
        </w:rPr>
        <w:t>—The Book Publishing segment consists of HarperCollins, the second largest consumer book publisher in the world,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in 15 countries and particular strengths in general fiction, nonfiction, children’s and religious publishing. HarperCollins owns more than 120 branded publishing imprints, including Harper, William Morrow, Mariner, HarperCollins Children’s Books, Avon, Harlequin and Christian publishers Zondervan and Thomas Nelson, and publishes works by well-known authors such as Harper Lee, George Orwell, Agatha Christie and Zora Neale Hurston, as well as global author brands including J.R.R. Tolkien, C.S. Lewis, Daniel Silva, Karin Slaughter and Dr. Martin Luther King, Jr. It is home to many beloved children’s books and series and a significant Christian publishing business.</w:t>
      </w:r>
    </w:p>
    <w:p>
      <w:pPr>
        <w:spacing w:after="0" w:line="74" w:lineRule="exact"/>
        <w:rPr>
          <w:rFonts w:ascii="Times New Roman" w:cs="Times New Roman" w:eastAsia="Times New Roman" w:hAnsi="Times New Roman"/>
          <w:sz w:val="18"/>
          <w:szCs w:val="18"/>
          <w:b w:val="1"/>
          <w:bCs w:val="1"/>
          <w:i w:val="1"/>
          <w:iCs w:val="1"/>
          <w:color w:val="auto"/>
        </w:rPr>
      </w:pPr>
    </w:p>
    <w:p>
      <w:pPr>
        <w:ind w:left="980" w:hanging="405"/>
        <w:spacing w:after="0" w:line="259" w:lineRule="auto"/>
        <w:tabs>
          <w:tab w:leader="none" w:pos="97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News Media</w:t>
      </w:r>
      <w:r>
        <w:rPr>
          <w:rFonts w:ascii="Times New Roman" w:cs="Times New Roman" w:eastAsia="Times New Roman" w:hAnsi="Times New Roman"/>
          <w:sz w:val="18"/>
          <w:szCs w:val="18"/>
          <w:color w:val="auto"/>
        </w:rPr>
        <w:t>—The News Media segment consists primarily of News Corp Australia, News UK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New York Post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Australian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Daily Telegraph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Herald Sun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Courier Mail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Advertiser </w:t>
      </w:r>
      <w:r>
        <w:rPr>
          <w:rFonts w:ascii="Times New Roman" w:cs="Times New Roman" w:eastAsia="Times New Roman" w:hAnsi="Times New Roman"/>
          <w:sz w:val="18"/>
          <w:szCs w:val="18"/>
          <w:color w:val="auto"/>
        </w:rPr>
        <w:t>and the news.com.au website in Australia,</w:t>
      </w:r>
      <w:r>
        <w:rPr>
          <w:rFonts w:ascii="Times New Roman" w:cs="Times New Roman" w:eastAsia="Times New Roman" w:hAnsi="Times New Roman"/>
          <w:sz w:val="18"/>
          <w:szCs w:val="18"/>
          <w:i w:val="1"/>
          <w:iCs w:val="1"/>
          <w:color w:val="auto"/>
        </w:rPr>
        <w:t xml:space="preserve"> The Times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Sunday Times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Sun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Sun on Sunday </w:t>
      </w:r>
      <w:r>
        <w:rPr>
          <w:rFonts w:ascii="Times New Roman" w:cs="Times New Roman" w:eastAsia="Times New Roman" w:hAnsi="Times New Roman"/>
          <w:sz w:val="18"/>
          <w:szCs w:val="18"/>
          <w:color w:val="auto"/>
        </w:rPr>
        <w:t>and thesun.co.uk in the U.K. and the-sun.com in the U.S. This segment also includes News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Broadcasting, operator of talkSPORT, the leading sports radio network in the U.K., and Australian News Channel, which operates the News24 network, Australia’s 24-hour multi-channel, multi-platform news service.</w:t>
      </w:r>
    </w:p>
    <w:p>
      <w:pPr>
        <w:spacing w:after="0" w:line="71" w:lineRule="exact"/>
        <w:rPr>
          <w:rFonts w:ascii="Times New Roman" w:cs="Times New Roman" w:eastAsia="Times New Roman" w:hAnsi="Times New Roman"/>
          <w:sz w:val="18"/>
          <w:szCs w:val="18"/>
          <w:b w:val="1"/>
          <w:bCs w:val="1"/>
          <w:i w:val="1"/>
          <w:iCs w:val="1"/>
          <w:color w:val="auto"/>
        </w:rPr>
      </w:pPr>
    </w:p>
    <w:p>
      <w:pPr>
        <w:ind w:left="980" w:right="40" w:hanging="405"/>
        <w:spacing w:after="0" w:line="286" w:lineRule="auto"/>
        <w:tabs>
          <w:tab w:leader="none" w:pos="97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—The Other segment consists primarily of general corporate overhead expenses, strategy costs and costs related to the U.K. Newspaper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(as defined in Note 9—Commitments and Contingencies to the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Distilled Ltd Investment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September 2026, REA Group entered into an agreement to acquire a 35% interest in Distilled Ltd (“Distilled”) for approximately A$409 million in cash, subject to customary purchase price adjustments, which it expects to fund with borrowings and cash on hand. The investment is subject to customary closing conditions, including regulatory approval, and is expected to close in fiscal 2027. Distilled operates multi-vertical digital marketplaces across Ireland and Northern Ireland. The investment is expected to allow REA Group to collaborate with Distilled to extend REA Group’s core property strategy into new markets. See Note 4—Investments in the accompanying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 Group 2026 Credit Facility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September 2026, REA Group terminated its undrawn 2024 REA Credit Facility and entered into a new unsecured syndicated credit facility (the “2026 REA Credit Facility”). The 2026 REA Credit Facility provides a three-year A$500 million revolving loan facility. See Note 5—Borrowings in the accompanying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Operations—For the three months ended September 30, 2026 versus the three months ended September 30,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operating results for the three months ended September 30, 2026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gridSpan w:val="9"/>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3"/>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0" w:type="dxa"/>
            <w:vAlign w:val="bottom"/>
          </w:tcPr>
          <w:p>
            <w:pPr>
              <w:spacing w:after="0"/>
              <w:rPr>
                <w:sz w:val="1"/>
                <w:szCs w:val="1"/>
                <w:color w:val="auto"/>
              </w:rPr>
            </w:pPr>
          </w:p>
        </w:tc>
      </w:tr>
      <w:tr>
        <w:trPr>
          <w:trHeight w:val="23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Circulation and subscription</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losses of affiliates</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News Corporation stockholders</w:t>
            </w:r>
          </w:p>
        </w:tc>
        <w:tc>
          <w:tcPr>
            <w:tcW w:w="2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—Revenues increased $137 million, or 6%, for the three months ended September 30, 2026 as compared to the corresponding period of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revenue increase for the three months ended September 30, 2026 was due to higher revenues at the Digital Real Estate Services segment driven by higher revenues at REA Group and Move, at the Book Publishing segment driven by higher physical and digital book sales and at the Dow Jones segment driven by higher circulation and subscription and advertising revenues. The impact of foreign currency fluctuations of the U.S. dollar against local currencies resulted in a revenue increase of $43 million, or 2%, for the three months ended September 30, 2026 as compared to the corresponding period of fiscal 2026.</w:t>
      </w:r>
    </w:p>
    <w:p>
      <w:pPr>
        <w:spacing w:after="0" w:line="18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calculates the impact of foreign currency fluctuations for businesses reporting in currencies other than the U.S. dollar by multiplying the results for each quarter in the current period by the difference between the average exchange rate for that quarter and the average exchange rate in effect during the corresponding quarter of the prior year and totaling the impact for all quarters in the current period.</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—Operating expenses increased $47 million, or 5%, for the three months ended September 30, 2026 as compared to the corresponding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of fiscal 2026.</w:t>
      </w:r>
    </w:p>
    <w:p>
      <w:pPr>
        <w:spacing w:after="0" w:line="15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increase in operating expenses for the three months ended September 30, 2026 was primarily due to higher costs at the Book Publishing segment driven by higher costs related to higher sales volume and mix of titles. The impact of foreign currency fluctuations of the U.S. dollar against local currencies resulted in an Operating expense increase of $9 million, or 1%, for the three months ended September 30, 2026 as compared to the corresponding period of fiscal 2026.</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—Selling, general and administrative increased $27 million, or 3%, for the three months ended September 30, 2026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corresponding period of fiscal 2026.</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increase in Selling, general and administrative for the three months ended September 30, 2026 was primarily due to higher costs at the Dow Jones segment driven by the timing of marketing spend and higher employee costs and at the Other segment driven by higher employee costs, partially offset by lower costs at the Book Publishing segment driven by the absence of a $13 million write-off of a customer receivable related to the closure of a book distributor in the prior year. The impact of foreign currency fluctuations of the U.S. dollar against local currencies resulted in a Selling, general and administrative increase of $19 million, or 2%, for the three months ended September 30, 2026 as compared to the corresponding period of fiscal 2026.</w:t>
      </w:r>
    </w:p>
    <w:p>
      <w:pPr>
        <w:spacing w:after="0" w:line="17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—Depreciation and amortization expense increased $9 million, or 8%, for the three months ended September 30, 2026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corresponding period of fiscal 2026 driven by higher depreciation of capitalized software costs, primarily at the Digital Real Estate Services segment. The impact of foreign currency fluctuations of the U.S. dollar against local currencies resulted in a depreciation and amortization increase of $3 million, or 3%, for the three months ended September 30, 2026 as compared to the corresponding period of fiscal 2026.</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Impairment and restructuring charges</w:t>
      </w:r>
      <w:r>
        <w:rPr>
          <w:rFonts w:ascii="Times New Roman" w:cs="Times New Roman" w:eastAsia="Times New Roman" w:hAnsi="Times New Roman"/>
          <w:sz w:val="18"/>
          <w:szCs w:val="18"/>
          <w:color w:val="auto"/>
        </w:rPr>
        <w:t>—During the three months ended September 30, 2026 and 2025, the Company recorded impairment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restructuring charges of $20 million and $19 million, respectively. See Note 3—Impairment and Restructuring Charges in the accompanying Consolidated Financial Statements.</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Equity losses of affiliates</w:t>
      </w:r>
      <w:r>
        <w:rPr>
          <w:rFonts w:ascii="Times New Roman" w:cs="Times New Roman" w:eastAsia="Times New Roman" w:hAnsi="Times New Roman"/>
          <w:sz w:val="18"/>
          <w:szCs w:val="18"/>
          <w:color w:val="auto"/>
        </w:rPr>
        <w:t>—For the three months ended September 30, 2026 and 2025, the Company recorded Equity losses of affiliates of $3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 million, respectively. See Note 4—Investments in the accompanying Consolidated Financial Statements.</w:t>
      </w:r>
    </w:p>
    <w:p>
      <w:pPr>
        <w:spacing w:after="0" w:line="15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income, net</w:t>
      </w:r>
      <w:r>
        <w:rPr>
          <w:rFonts w:ascii="Times New Roman" w:cs="Times New Roman" w:eastAsia="Times New Roman" w:hAnsi="Times New Roman"/>
          <w:sz w:val="18"/>
          <w:szCs w:val="18"/>
          <w:color w:val="auto"/>
        </w:rPr>
        <w:t>—Interest income, net decreased by $2 million, or 33%, for the three months ended September 30, 2026 as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of fiscal 2026, driven by lower interest income on cash balances. See Note 5—Borrowings and Note 7—Financial Instruments and Fair Value Measurements in the accompanying Consolidated Financial Statements.</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net</w:t>
      </w:r>
      <w:r>
        <w:rPr>
          <w:rFonts w:ascii="Times New Roman" w:cs="Times New Roman" w:eastAsia="Times New Roman" w:hAnsi="Times New Roman"/>
          <w:sz w:val="18"/>
          <w:szCs w:val="18"/>
          <w:color w:val="auto"/>
        </w:rPr>
        <w:t>—For the three months ended September 30, 2026 and 2025, the Company recorded Other, net of $38 million and $4 million, respectively.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September 30, 2026 includes the gain on REA Group’s sale of REA India’s remaining business. See Note 12—Additional Financial Information in the accompanying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—For the three months ended September 30, 2026, the Company recorded income tax expense of $81 million on pre-tax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$296 million, resulting in an effective tax rate that was higher than the U.S. statutory tax rate. The tax rate was impacted by foreign operations which are subject to higher tax rates, remeasurement losses on certain investments with little or no tax benefit and valuation allowances recorded against tax benefits in certain businesses, partially offset by the favorable impact of REA Group’s sale of REA India’s remaining business.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recorded income tax expense of $62 million on pre-tax income of $212 million, resulting in an effective tax rate that was higher than the U.S. statutory tax rate. The tax rate was impacted by foreign operations which are subject to higher tax rates and by valuation allowances recorded against tax benefits in certain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10—Income Taxes in the accompanying Consolidated Financial Statements.</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—Net income for the three months ended September 30, 2026 was $215 million compared to $150 million for the corresponding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2026, an increase of $65 million, or 43%, primarily driven by the factors discussed above.</w:t>
      </w:r>
    </w:p>
    <w:p>
      <w:pPr>
        <w:spacing w:after="0" w:line="15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r>
        <w:rPr>
          <w:rFonts w:ascii="Times New Roman" w:cs="Times New Roman" w:eastAsia="Times New Roman" w:hAnsi="Times New Roman"/>
          <w:sz w:val="18"/>
          <w:szCs w:val="18"/>
          <w:color w:val="auto"/>
        </w:rPr>
        <w:t>—Net income attributable to noncontrolling interests was $56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2026 as compared to $38 million for the three months ended September 30, 2025, an increase of $18 million, or 47%.</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Analysis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Segment EBITDA is the primary measure used by the Company’s chief operating decision maker to evaluate the performance of, and allocate resources within, the Company’s businesses. Segment EBITDA is defined as revenues less operating expenses and selling, general and administrative expenses. Segment EBITDA does not include: depreciation and amortization, impairment and restructuring charges, equity losses of affiliates, interest (expense) income, net, other, net and income tax (expense) benefit. Segment EBITDA may not be comparable to similarly titled measures reported by other companies, since companies and investors may differ as to what items should be included in the calculation of Segment EBITDA. Segment EBITDA provides management, investors and equity analysts with a measure to analyze the operating performance of each of the Company’s business segments and its enterprise value against historical data and competitors’ data, although historical results may not be indicative of future results (as operating performance is highly contingent on many factors, including customer tastes and preferences).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Total Segment EBITDA is a non-GAAP measure and should be considered in addition to, not as a substitute for, net income (loss), cash flow from continuing operations and other measures of financial performance reported in accordance with GAAP. In addition, this measure does not reflect cash available to fund requirements and excludes items, such as depreciation and amortization and impairment and restructuring charges, which are significant components in assessing the Company’s financial performance. The Company believes that the presentation of Total Segment EBITDA provides useful information regarding the Company’s operations and other factors that affect the Company’s reported results. Specifically, the Company believes that by excluding certain one-time or non-cash items such as impairment and restructuring charges and depreciation and amortization, as well as potential distortions between periods caused by factors such as financing and capital structures and changes in tax positions or regimes, the Company provides users of its consolidated financial statements with insight into both its core operations as well as the factors that affect reported results between periods but which the Company believes are not representative of its core business. As a result, users of the Company’s consolidated financial statements are better able to evaluate changes in the core operating results of the Company across different periods.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to Total Segment EBITDA for the three months ended September 30, 2026 and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7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23"/>
        </w:trPr>
        <w:tc>
          <w:tcPr>
            <w:tcW w:w="8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8500" w:type="dxa"/>
            <w:vAlign w:val="bottom"/>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6"/>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
        </w:trPr>
        <w:tc>
          <w:tcPr>
            <w:tcW w:w="8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losses of affiliates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Segment EBITDA</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bl>
    <w:p>
      <w:pPr>
        <w:spacing w:after="0" w:line="2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Revenues and Segment EBITDA by reportable segment for the three months ended September 30,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1"/>
                <w:szCs w:val="11"/>
                <w:color w:val="auto"/>
              </w:rPr>
            </w:pPr>
          </w:p>
        </w:tc>
        <w:tc>
          <w:tcPr>
            <w:tcW w:w="1080" w:type="dxa"/>
            <w:vAlign w:val="bottom"/>
          </w:tcPr>
          <w:p>
            <w:pPr>
              <w:jc w:val="right"/>
              <w:ind w:right="315"/>
              <w:spacing w:after="0" w:line="135"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Real Estate Services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Publishing</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News Media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Dow Jones </w:t>
      </w:r>
      <w:r>
        <w:rPr>
          <w:rFonts w:ascii="Times New Roman" w:cs="Times New Roman" w:eastAsia="Times New Roman" w:hAnsi="Times New Roman"/>
          <w:sz w:val="18"/>
          <w:szCs w:val="18"/>
          <w:color w:val="auto"/>
        </w:rPr>
        <w:t>(28% and 27% of the Company’s consolidated revenues for the three months ended September 30, 2026 and 2025, respectively)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40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6"/>
                <w:szCs w:val="16"/>
                <w:color w:val="auto"/>
              </w:rPr>
            </w:pP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200" w:type="dxa"/>
            <w:vAlign w:val="bottom"/>
          </w:tcPr>
          <w:p>
            <w:pPr>
              <w:spacing w:after="0"/>
              <w:rPr>
                <w:sz w:val="17"/>
                <w:szCs w:val="17"/>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30"/>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Circulation and subscription</w:t>
            </w:r>
          </w:p>
        </w:tc>
        <w:tc>
          <w:tcPr>
            <w:tcW w:w="3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EBITDA</w:t>
            </w:r>
          </w:p>
        </w:tc>
        <w:tc>
          <w:tcPr>
            <w:tcW w:w="3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r>
      <w:tr>
        <w:trPr>
          <w:trHeight w:val="898"/>
        </w:trPr>
        <w:tc>
          <w:tcPr>
            <w:tcW w:w="4040" w:type="dxa"/>
            <w:vAlign w:val="bottom"/>
          </w:tcPr>
          <w:p>
            <w:pPr>
              <w:spacing w:after="0"/>
              <w:rPr>
                <w:sz w:val="24"/>
                <w:szCs w:val="24"/>
                <w:color w:val="auto"/>
              </w:rPr>
            </w:pPr>
          </w:p>
        </w:tc>
        <w:tc>
          <w:tcPr>
            <w:tcW w:w="31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revenues at the Dow Jones segment increased $44 million, or 8%, as compared to the corresponding period of fiscal 2026, driven by higher circulation and subscription and advertising revenues. Digital revenues represented 85% of total revenues at the Dow Jones segment for the three months ended September 30, 2026, as compared to 84% for the corresponding period of fiscal 2026. The impact of foreign currency fluctuations of the U.S. dollar against local currencies resulted in a revenue decrease of $1 million for the three months ended September 30, 2026 as compared to the corresponding period of fiscal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Circulation and Subscription 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7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6"/>
                <w:szCs w:val="16"/>
                <w:color w:val="auto"/>
              </w:rPr>
            </w:pP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200" w:type="dxa"/>
            <w:vAlign w:val="bottom"/>
          </w:tcPr>
          <w:p>
            <w:pPr>
              <w:spacing w:after="0"/>
              <w:rPr>
                <w:sz w:val="17"/>
                <w:szCs w:val="17"/>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Circulation and subscription revenues: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Circulation and licensing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Dow Jones Risk &amp; Compliance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Dow Jones Energy</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information services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7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Professional information business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circulation and subscription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r>
    </w:tbl>
    <w:p>
      <w:pPr>
        <w:spacing w:after="0" w:line="2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Circulation and subscription revenues increased $33 million, or 7%, for the three months ended September 30, 2026 as compared to the corresponding period of fiscal 2026. Circulation and licensing revenues increased $20 million, or 8%, driven by higher content licensing revenues, increased digital circulation revenues due to the conversion of customers from introductory promotions to higher pricing and growth in digital-only subscriptions, driven by enterprise customers. Professional information business revenues increased $13 million, or 5%, primarily due to the $10 million and $6 million increases in Dow Jones Risk &amp; Compliance and Dow Jones Energy revenues, respectively, driven by higher volume and price increases. Digital revenues represented 76% of circulation revenue for the three months ended September 30, 2026, as compared to 75% for the corresponding period of fiscal 2026.</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selected information regarding average daily subscriptions during the three months ended September 30, 2026 and 2025 for the Dow Jones segment’s subscription news products: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r>
              <w:rPr>
                <w:rFonts w:ascii="Times New Roman" w:cs="Times New Roman" w:eastAsia="Times New Roman" w:hAnsi="Times New Roman"/>
                <w:sz w:val="18"/>
                <w:szCs w:val="18"/>
                <w:b w:val="1"/>
                <w:bCs w:val="1"/>
                <w:color w:val="auto"/>
                <w:vertAlign w:val="superscript"/>
              </w:rPr>
              <w:t>(a)(b)</w:t>
            </w: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spacing w:after="0"/>
              <w:rPr>
                <w:sz w:val="18"/>
                <w:szCs w:val="18"/>
                <w:color w:val="auto"/>
              </w:rPr>
            </w:pPr>
          </w:p>
        </w:tc>
      </w:tr>
      <w:tr>
        <w:trPr>
          <w:trHeight w:val="189"/>
        </w:trPr>
        <w:tc>
          <w:tcPr>
            <w:tcW w:w="55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Better/(Worse)</w:t>
            </w:r>
          </w:p>
        </w:tc>
      </w:tr>
      <w:tr>
        <w:trPr>
          <w:trHeight w:val="236"/>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The Wall Street Journal</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634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Digital-only subscriptions</w:t>
            </w:r>
            <w:r>
              <w:rPr>
                <w:rFonts w:ascii="Times New Roman" w:cs="Times New Roman" w:eastAsia="Times New Roman" w:hAnsi="Times New Roman"/>
                <w:sz w:val="23"/>
                <w:szCs w:val="23"/>
                <w:color w:val="auto"/>
                <w:vertAlign w:val="superscript"/>
              </w:rPr>
              <w:t>(c)</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4,663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9"/>
                <w:szCs w:val="19"/>
                <w:color w:val="auto"/>
              </w:rPr>
            </w:pPr>
          </w:p>
        </w:tc>
        <w:tc>
          <w:tcPr>
            <w:tcW w:w="16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446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6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subscriptions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5,008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398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63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Barron’s Group</w:t>
            </w:r>
            <w:r>
              <w:rPr>
                <w:rFonts w:ascii="Times New Roman" w:cs="Times New Roman" w:eastAsia="Times New Roman" w:hAnsi="Times New Roman"/>
                <w:sz w:val="23"/>
                <w:szCs w:val="23"/>
                <w:color w:val="auto"/>
                <w:vertAlign w:val="superscript"/>
              </w:rPr>
              <w:t>(d)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34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Digital-only subscriptions</w:t>
            </w:r>
            <w:r>
              <w:rPr>
                <w:rFonts w:ascii="Times New Roman" w:cs="Times New Roman" w:eastAsia="Times New Roman" w:hAnsi="Times New Roman"/>
                <w:sz w:val="23"/>
                <w:szCs w:val="23"/>
                <w:color w:val="auto"/>
                <w:vertAlign w:val="superscript"/>
              </w:rPr>
              <w:t>(c)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1,536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170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6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subscriptions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1,622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16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151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63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News Products</w:t>
            </w:r>
            <w:r>
              <w:rPr>
                <w:rFonts w:ascii="Times New Roman" w:cs="Times New Roman" w:eastAsia="Times New Roman" w:hAnsi="Times New Roman"/>
                <w:sz w:val="23"/>
                <w:szCs w:val="23"/>
                <w:color w:val="auto"/>
                <w:vertAlign w:val="superscript"/>
              </w:rPr>
              <w:t>(e)</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34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Digital-only subscriptions</w:t>
            </w:r>
            <w:r>
              <w:rPr>
                <w:rFonts w:ascii="Times New Roman" w:cs="Times New Roman" w:eastAsia="Times New Roman" w:hAnsi="Times New Roman"/>
                <w:sz w:val="23"/>
                <w:szCs w:val="23"/>
                <w:color w:val="auto"/>
                <w:vertAlign w:val="superscript"/>
              </w:rPr>
              <w:t>(c)</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6,477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tcPr>
          <w:p>
            <w:pPr>
              <w:spacing w:after="0"/>
              <w:rPr>
                <w:sz w:val="19"/>
                <w:szCs w:val="19"/>
                <w:color w:val="auto"/>
              </w:rPr>
            </w:pPr>
          </w:p>
        </w:tc>
        <w:tc>
          <w:tcPr>
            <w:tcW w:w="16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599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6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subscriptions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530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166" w:lineRule="exact"/>
        <w:rPr>
          <w:sz w:val="20"/>
          <w:szCs w:val="20"/>
          <w:color w:val="auto"/>
        </w:rPr>
      </w:pPr>
    </w:p>
    <w:p>
      <w:pPr>
        <w:ind w:left="500" w:right="160" w:hanging="492"/>
        <w:spacing w:after="0" w:line="301" w:lineRule="auto"/>
        <w:tabs>
          <w:tab w:leader="none" w:pos="49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internal data for the periods from June 29, 2026 through September 27, 2026 and June 30, 2025 through September 28, 2025, respectively. Excludes off-platform distribution, except for certain custom workflow integrations in connection with enterprise customer subscriptions.</w:t>
      </w:r>
    </w:p>
    <w:p>
      <w:pPr>
        <w:spacing w:after="0" w:line="1" w:lineRule="exact"/>
        <w:rPr>
          <w:rFonts w:ascii="Times New Roman" w:cs="Times New Roman" w:eastAsia="Times New Roman" w:hAnsi="Times New Roman"/>
          <w:sz w:val="14"/>
          <w:szCs w:val="14"/>
          <w:color w:val="auto"/>
        </w:rPr>
      </w:pPr>
    </w:p>
    <w:p>
      <w:pPr>
        <w:ind w:left="500" w:right="40" w:hanging="492"/>
        <w:spacing w:after="0" w:line="280" w:lineRule="auto"/>
        <w:tabs>
          <w:tab w:leader="none" w:pos="4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Subscriptions include individual consumer subscriptions and enterprise customer subscriptions. Enterprise customer subscriptions include subscriptions purchased by companies, schools, businesses and associations for use by their respective employees, students, customers or members. Subscriptions exclude single-copy sales and copies purchased by hotels, airlines and other businesses for limited distribution or access to customers.</w:t>
      </w:r>
    </w:p>
    <w:p>
      <w:pPr>
        <w:spacing w:after="0" w:line="1" w:lineRule="exact"/>
        <w:rPr>
          <w:rFonts w:ascii="Times New Roman" w:cs="Times New Roman" w:eastAsia="Times New Roman" w:hAnsi="Times New Roman"/>
          <w:sz w:val="14"/>
          <w:szCs w:val="14"/>
          <w:color w:val="auto"/>
        </w:rPr>
      </w:pPr>
    </w:p>
    <w:p>
      <w:pPr>
        <w:ind w:left="500" w:right="20" w:hanging="492"/>
        <w:spacing w:after="0" w:line="283" w:lineRule="auto"/>
        <w:tabs>
          <w:tab w:leader="none" w:pos="49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some publications, including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Barron’s</w:t>
      </w:r>
      <w:r>
        <w:rPr>
          <w:rFonts w:ascii="Times New Roman" w:cs="Times New Roman" w:eastAsia="Times New Roman" w:hAnsi="Times New Roman"/>
          <w:sz w:val="14"/>
          <w:szCs w:val="14"/>
          <w:color w:val="auto"/>
        </w:rPr>
        <w:t>, Dow Jones sells bundled print and digital products. For bundles that provide access to both print and digital products every day of the week, only one unit is reported each day and is designated as a print subscription. For bundled products that provide access to the print product only on specified days and full digital access, one print subscription is reported for each day that a print copy is served and one digital subscription is reported for each remaining day of the week.</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Barron’s Group consists of </w:t>
      </w:r>
      <w:r>
        <w:rPr>
          <w:rFonts w:ascii="Times New Roman" w:cs="Times New Roman" w:eastAsia="Times New Roman" w:hAnsi="Times New Roman"/>
          <w:sz w:val="14"/>
          <w:szCs w:val="14"/>
          <w:i w:val="1"/>
          <w:iCs w:val="1"/>
          <w:color w:val="auto"/>
        </w:rPr>
        <w:t>Barron’s</w:t>
      </w:r>
      <w:r>
        <w:rPr>
          <w:rFonts w:ascii="Times New Roman" w:cs="Times New Roman" w:eastAsia="Times New Roman" w:hAnsi="Times New Roman"/>
          <w:sz w:val="14"/>
          <w:szCs w:val="14"/>
          <w:color w:val="auto"/>
        </w:rPr>
        <w:t xml:space="preserve">, MarketWatch, </w:t>
      </w:r>
      <w:r>
        <w:rPr>
          <w:rFonts w:ascii="Times New Roman" w:cs="Times New Roman" w:eastAsia="Times New Roman" w:hAnsi="Times New Roman"/>
          <w:sz w:val="14"/>
          <w:szCs w:val="14"/>
          <w:i w:val="1"/>
          <w:iCs w:val="1"/>
          <w:color w:val="auto"/>
        </w:rPr>
        <w:t>Financial News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Private Equity News</w:t>
      </w: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Total News Products consists of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Barron’s Group and </w:t>
      </w:r>
      <w:r>
        <w:rPr>
          <w:rFonts w:ascii="Times New Roman" w:cs="Times New Roman" w:eastAsia="Times New Roman" w:hAnsi="Times New Roman"/>
          <w:sz w:val="14"/>
          <w:szCs w:val="14"/>
          <w:i w:val="1"/>
          <w:iCs w:val="1"/>
          <w:color w:val="auto"/>
        </w:rPr>
        <w:t>Investor’s Business Daily.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Revenues</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Advertising revenues increased $8 million, or 9%, for the three months ended September 30, 2026 as compared to the corresponding period of fiscal 2026 primarily due to $7 million of higher digital advertising revenues driven by multiple sectors. Digital advertising revenues represented 70% of advertising revenue for the three months ended September 30, 2026, as compared to 68% for the corresponding period of fiscal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EBITDA</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Segment EBITDA at the Dow Jones segment increased $16 million, or 11%, as compared to the corresponding period of fiscal 2026, primarily due to the increase in revenues discussed above, partially offset by higher employee costs and the timing of marketing spend.</w:t>
      </w:r>
    </w:p>
    <w:p>
      <w:pPr>
        <w:spacing w:after="0" w:line="280"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Real Estate Services </w:t>
      </w:r>
      <w:r>
        <w:rPr>
          <w:rFonts w:ascii="Times New Roman" w:cs="Times New Roman" w:eastAsia="Times New Roman" w:hAnsi="Times New Roman"/>
          <w:sz w:val="18"/>
          <w:szCs w:val="18"/>
          <w:color w:val="auto"/>
        </w:rPr>
        <w:t>(23% and 22% of the Company’s consolidated revenues for the three months ended September 30, 2026 and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7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6"/>
                <w:szCs w:val="16"/>
                <w:color w:val="auto"/>
              </w:rPr>
            </w:pPr>
          </w:p>
        </w:tc>
      </w:tr>
      <w:tr>
        <w:trPr>
          <w:trHeight w:val="19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200" w:type="dxa"/>
            <w:vAlign w:val="bottom"/>
          </w:tcPr>
          <w:p>
            <w:pPr>
              <w:spacing w:after="0"/>
              <w:rPr>
                <w:sz w:val="17"/>
                <w:szCs w:val="17"/>
                <w:color w:val="auto"/>
              </w:rPr>
            </w:pPr>
          </w:p>
        </w:tc>
      </w:tr>
      <w:tr>
        <w:trPr>
          <w:trHeight w:val="23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29"/>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Circulation and subscription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r>
    </w:tbl>
    <w:p>
      <w:pPr>
        <w:spacing w:after="0" w:line="27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For the three months ended September 30, 2026, revenues at the Digital Real Estate Services segment increased $50 million, or 10%, as compared to the corresponding period of fiscal 2026. Revenues at REA Group increased $42 million, or 13%, to $369 million for the three months ended September 30, 2026 from $327 million for the corresponding period of fiscal 2026, including the $27 million, or 8%, positive impact of foreign currency fluctuations, driven by higher Australian residential revenues primarily due to price increases, growth in add-on products and increased depth penetration, partially offset by unfavorable geographic mix. The increases were also partially offset by lower revenues at REA India driven by recent divestitures and the discontinuation of certain businesses. REA Group completed the sale of REA India’s remaining business in September 2026. Revenues at Move increased $8 million, or 5%, to $160 million for the three months ended September 30, 2026 from $152 million for the corresponding period of fiscal 2026, driven by higher sales of RealPRO Select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and revenue growth in seller, new homes and rentals. Lead volumes decreased 11% compared to the corresponding period of fiscal 2026, reflecting the impact of recent increases in mortgage rates, which may continue to negatively impact the U.S. housing market in the near term.</w:t>
      </w:r>
    </w:p>
    <w:p>
      <w:pPr>
        <w:spacing w:after="0" w:line="19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Segment EBITDA at the Digital Real Estate Services segment increased $54 million, or 34%, including the $15 million, or 9%, positive impact of foreign currency fluctuations, as compared to the corresponding period of fiscal 2026, driven by the higher revenues discussed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Book Publishing </w:t>
      </w:r>
      <w:r>
        <w:rPr>
          <w:rFonts w:ascii="Times New Roman" w:cs="Times New Roman" w:eastAsia="Times New Roman" w:hAnsi="Times New Roman"/>
          <w:sz w:val="18"/>
          <w:szCs w:val="18"/>
          <w:color w:val="auto"/>
        </w:rPr>
        <w:t>(25% of the Company’s consolidated revenues for both the three months ended September 30, 2026 and 2025)</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7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6"/>
                <w:szCs w:val="16"/>
                <w:color w:val="auto"/>
              </w:rPr>
            </w:pPr>
          </w:p>
        </w:tc>
      </w:tr>
      <w:tr>
        <w:trPr>
          <w:trHeight w:val="19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Better/(Worse)</w:t>
            </w:r>
          </w:p>
        </w:tc>
        <w:tc>
          <w:tcPr>
            <w:tcW w:w="200" w:type="dxa"/>
            <w:vAlign w:val="bottom"/>
          </w:tcPr>
          <w:p>
            <w:pPr>
              <w:spacing w:after="0"/>
              <w:rPr>
                <w:sz w:val="17"/>
                <w:szCs w:val="17"/>
                <w:color w:val="auto"/>
              </w:rPr>
            </w:pPr>
          </w:p>
        </w:tc>
      </w:tr>
      <w:tr>
        <w:trPr>
          <w:trHeight w:val="23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30"/>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29 %</w:t>
            </w:r>
          </w:p>
        </w:tc>
      </w:tr>
    </w:tbl>
    <w:p>
      <w:pPr>
        <w:spacing w:after="0" w:line="2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revenues at the Book Publishing segment increased $48 million, or 9%, as compared to the corresponding period of fiscal 2026, primarily due to higher physical and digital book sales. Digital sales increased by 6% as compared to the corresponding period of fiscal 2026 driven by growth in audiobook sales. Digital sales represented approximately 23% of consumer revenues for both the three months ended September 30, 2026 and 2025. Backlist sales represented approximately 66% of consumer revenues for the three months ended September 30, 2026, as compared to 65% for the corresponding period of fiscal 2026.</w:t>
      </w:r>
    </w:p>
    <w:p>
      <w:pPr>
        <w:spacing w:after="0" w:line="18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Segment EBITDA at the Book Publishing segment increased $17 million, or 29%, as compared to the corresponding period of fiscal 2026, driven by the higher revenues discussed above and the absence of a $13 million write-off of a customer receivable related to the closure of a book distributor in the prior year, partially offset by higher costs due to higher sales volume and mix of titles.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News Media </w:t>
      </w:r>
      <w:r>
        <w:rPr>
          <w:rFonts w:ascii="Times New Roman" w:cs="Times New Roman" w:eastAsia="Times New Roman" w:hAnsi="Times New Roman"/>
          <w:sz w:val="18"/>
          <w:szCs w:val="18"/>
          <w:color w:val="auto"/>
        </w:rPr>
        <w:t>(24% and 26% of the Company’s consolidated revenues for the three months ended September 30, 2026 and 2025, respectively)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20" w:type="dxa"/>
            <w:vAlign w:val="bottom"/>
            <w:gridSpan w:val="9"/>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23"/>
        </w:trPr>
        <w:tc>
          <w:tcPr>
            <w:tcW w:w="7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7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Better/(Worse)</w:t>
            </w:r>
          </w:p>
        </w:tc>
      </w:tr>
      <w:tr>
        <w:trPr>
          <w:trHeight w:val="23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Circulation and subscription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7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EBITDA</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bl>
    <w:p>
      <w:pPr>
        <w:spacing w:after="0" w:line="26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Revenues at the News Media segment decreased $5 million, or 1%, for the three months ended September 30, 2026 as compared to the corresponding period of fiscal 2026. Other revenues decreased $9 million, or 14%, as compared to the corresponding period of fiscal 2026. Advertising revenues decreased $4 million, or 2%, as compared to the corresponding period of fiscal 2026, primarily due to lower print advertising revenues, partially offset by the $5 million, or 3%, positive impact of foreign currency fluctuations. Circulation and subscription revenues increased $8 million, or 3%, as compared to the corresponding period of fiscal 2026, driven by the $9 million, or 3%, positive impact of foreign currency fluctuations, as price increases and higher content licensing revenues were more than offset by print volume declines. The impact of foreign currency fluctuations of the U.S. dollar against local currencies resulted in a revenue increase of $17 million, or 3%, for the three months ended September 30, 2026 as compared to the corresponding period of fiscal 2026.</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Segment EBITDA at the News Media segment decreased by $12 million, or 40%, for the three months ended September 30, 2026 as compared to the corresponding period of fiscal 2026. The decrease was driven by the lower revenues discussed above.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Financial Condition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principal source of liquidity is internally generated funds and cash and cash equivalents on hand. As of September 30, 2026, the Company’s cash and cash equivalents were $1.8 billion. The Company also has available borrowing capacity under the 2026 Revolving Facility and certain other facilities and expects to have access to the worldwide credit and capital markets, subject to market conditions, in order to issue additional debt if needed or desired. The Company currently expects these elements of liquidity will enable it to meet its liquidity needs for at least the next twelve months, including repayment of indebtedness. Although the Company believes that its cash on hand and future cash from operations, together with its access to the credit and capital markets, will provide adequate resources to fund its operating and financing needs for at least the next twelve months, its access to, and the availability of, financing on acceptable terms in the future will be affected by many factors, including: (i) the financial and operational performance of the Company and/or its operating subsidiaries, as applicable, (ii) the Company’s credit ratings and/or the credit rating of its operating subsidiaries, as applicable, (iii) the provisions of any relevant debt instruments, credit agreements, indentures and similar or associated documents, (iv) the liquidity of the overall credit and capital markets and (v) the state of the economy. There can be no assurances that the Company will continue to have access to the credit and capital markets on acceptable terms.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Company’s consolidated assets included $632 million in cash and cash equivalents that were held by its foreign subsidiaries. Of this amount, $181 million is cash not readily accessible by the Company as it is held by REA Group, a majority owned but separately listed public company. REA Group must declare a dividend in order for the Company to have access to its share of REA Group’s cash balance.</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principal uses of cash that affect the Company’s liquidity position include the following: operational expenditures including employee costs and paper purchases; capital expenditures; income tax payments; investments in associated entities; acquisitions; the repurchase of shares; dividends; and the repayment of debt and related interest. In addition to the acquisitions and dispositions disclosed elsewhere, as applicable, the Company has evaluated, and expects to continue to evaluate, possible future acquisitions and dispositions of certain businesses. Such transactions may be material and may involve cash, the issuance of the Company’s securities or the assumption of indebtedness.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announced a stock repurchase program authorizing the Company to purchase up to $1 billion in the aggregate of the Company’s outstanding Class A Common Stock and Class B Common Stock (the “2021 Repurchase Program”), which was completed during fiscal 2026. On July 15, 2025, the Company announced a new stock repurchase program authorizing the Company to purchase up to $1 billion in the aggregate of the Company’s outstanding Class A Common Stock and Class B Common Stock (the “2025 Repurchase Program” and, together with the 2021 Repurchase Program, the “Stock Repurchase Programs”), which was in addition to the remaining authorized amount under the 2021 Repurchase Program at that time.</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manner, timing, number and share price of any repurchases will be determined by the Company at its discretion and will depend upon such factors as the market price of the stock, general market conditions, applicable securities laws, alternative investment opportunities and other factors. As of September 30, 2026, the remaining authorized amount under the 2025 Repurchase Program was approximately $501 million. The 2025 Repurchase Program has no time limit and may be modified, suspended or discontinued at any time.</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repurchased and subsequently retired under the Stock Repurchase Programs and the related consideration paid, excluding associated taxes, fees, commissions or other costs, during the three months ended September 30, 2026 and 2025:</w:t>
      </w:r>
    </w:p>
    <w:p>
      <w:pPr>
        <w:spacing w:after="0" w:line="19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67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August 2026, the Company’s Board of Directors (the “Board of Directors”) declared a semi-annual cash dividend of $0.10 per share for Class A Common Stock and Class B Common Stock. The dividend was paid on October 7, 2026 to stockholders of record as of September 9, 2026. The timing, declaration, amount and payment of future dividends to stockholders, if any, is within the discretion of the Board of Directors. The Board of Directors’ decisions regarding the payment of future dividends will depend on many factors, including the Company’s financial condition, earnings, capital requirements and debt facility covenants, other contractual restrictions, as well as legal requirements, regulatory constraints, industry practice, market volatility and other factors that the Board of Directors deems relevant.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Cash—For the three months ended September 30, 2026 versus the three months ended September 30,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from continuing operations </w:t>
      </w:r>
      <w:r>
        <w:rPr>
          <w:rFonts w:ascii="Times New Roman" w:cs="Times New Roman" w:eastAsia="Times New Roman" w:hAnsi="Times New Roman"/>
          <w:sz w:val="18"/>
          <w:szCs w:val="18"/>
          <w:color w:val="auto"/>
        </w:rPr>
        <w:t>for the three months ended September 30, 2026 and 2025 was as follows:</w:t>
      </w:r>
    </w:p>
    <w:p>
      <w:pPr>
        <w:spacing w:after="0" w:line="26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48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33655</wp:posOffset>
            </wp:positionV>
            <wp:extent cx="17487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ind w:left="20"/>
        <w:spacing w:after="0"/>
        <w:tabs>
          <w:tab w:leader="none" w:pos="8480" w:val="left"/>
          <w:tab w:leader="none" w:pos="9540" w:val="left"/>
          <w:tab w:leader="none" w:pos="9920" w:val="left"/>
          <w:tab w:leader="none" w:pos="10960" w:val="left"/>
        </w:tabs>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w:t>
        <w:tab/>
        <w:t>$</w:t>
      </w:r>
      <w:r>
        <w:rPr>
          <w:sz w:val="20"/>
          <w:szCs w:val="20"/>
          <w:color w:val="auto"/>
        </w:rPr>
        <w:tab/>
      </w: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decreased by $72 million for the three months ended September 30, 2026 as compared to the three months ended September 30, 2025. The decrease was primarily due to higher working capital due to the timing of payments and higher tax payments, partially offset by higher Total Segment EBITDA.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from continuing operations </w:t>
      </w:r>
      <w:r>
        <w:rPr>
          <w:rFonts w:ascii="Times New Roman" w:cs="Times New Roman" w:eastAsia="Times New Roman" w:hAnsi="Times New Roman"/>
          <w:sz w:val="18"/>
          <w:szCs w:val="18"/>
          <w:color w:val="auto"/>
        </w:rPr>
        <w:t>for the three months ended September 30, 2026 and 2025 was as follows:</w:t>
      </w:r>
    </w:p>
    <w:p>
      <w:pPr>
        <w:spacing w:after="0" w:line="25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22225</wp:posOffset>
            </wp:positionV>
            <wp:extent cx="17487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7"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33655</wp:posOffset>
            </wp:positionV>
            <wp:extent cx="1748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ind w:left="20"/>
        <w:spacing w:after="0"/>
        <w:tabs>
          <w:tab w:leader="none" w:pos="8480" w:val="left"/>
          <w:tab w:leader="none" w:pos="9460" w:val="left"/>
          <w:tab w:leader="none" w:pos="9920" w:val="left"/>
          <w:tab w:leader="none" w:pos="10800" w:val="left"/>
        </w:tabs>
        <w:rPr>
          <w:sz w:val="20"/>
          <w:szCs w:val="20"/>
          <w:color w:val="auto"/>
        </w:rPr>
      </w:pPr>
      <w:r>
        <w:rPr>
          <w:rFonts w:ascii="Times New Roman" w:cs="Times New Roman" w:eastAsia="Times New Roman" w:hAnsi="Times New Roman"/>
          <w:sz w:val="18"/>
          <w:szCs w:val="18"/>
          <w:color w:val="auto"/>
        </w:rPr>
        <w:t>Net cash used in investing activities from continuing operations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(79)</w:t>
        <w:tab/>
        <w:t>$</w:t>
      </w:r>
      <w:r>
        <w:rPr>
          <w:sz w:val="20"/>
          <w:szCs w:val="20"/>
          <w:color w:val="auto"/>
        </w:rPr>
        <w:tab/>
      </w: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decreased by $22 million for the three months ended September 30, 2026, as compared to the three months ended September 30, 2025, driven by the $41 million decrease in net cash used for acquisitions and the $10 million increase in proceeds from business dispositions, partially offset by $21 million of higher capital expenditures.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from continuing operations </w:t>
      </w:r>
      <w:r>
        <w:rPr>
          <w:rFonts w:ascii="Times New Roman" w:cs="Times New Roman" w:eastAsia="Times New Roman" w:hAnsi="Times New Roman"/>
          <w:sz w:val="18"/>
          <w:szCs w:val="18"/>
          <w:color w:val="auto"/>
        </w:rPr>
        <w:t>for the three months ended September 30, 2026 and 2025 was as follows:</w:t>
      </w:r>
    </w:p>
    <w:p>
      <w:pPr>
        <w:spacing w:after="0" w:line="26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48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33655</wp:posOffset>
            </wp:positionV>
            <wp:extent cx="1748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ind w:left="20"/>
        <w:spacing w:after="0"/>
        <w:tabs>
          <w:tab w:leader="none" w:pos="8480" w:val="left"/>
          <w:tab w:leader="none" w:pos="9380" w:val="left"/>
          <w:tab w:leader="none" w:pos="9920" w:val="left"/>
          <w:tab w:leader="none" w:pos="10800" w:val="left"/>
        </w:tabs>
        <w:rPr>
          <w:sz w:val="20"/>
          <w:szCs w:val="20"/>
          <w:color w:val="auto"/>
        </w:rPr>
      </w:pPr>
      <w:r>
        <w:rPr>
          <w:rFonts w:ascii="Times New Roman" w:cs="Times New Roman" w:eastAsia="Times New Roman" w:hAnsi="Times New Roman"/>
          <w:sz w:val="18"/>
          <w:szCs w:val="18"/>
          <w:color w:val="auto"/>
        </w:rPr>
        <w:t>Net cash used in financing activities from continuing operations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(261)</w:t>
        <w:tab/>
        <w:t>$</w:t>
      </w:r>
      <w:r>
        <w:rPr>
          <w:sz w:val="20"/>
          <w:szCs w:val="20"/>
          <w:color w:val="auto"/>
        </w:rPr>
        <w:tab/>
      </w: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from continuing operations was $261 million for the three months ended September 30, 2026, as compared to $179 million for the three months ended September 30, 2025.</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had $166 million of stock repurchases of outstanding Class A and Class B Common Stock under the 2025 Repurchase Program and dividend payments of $61 million primarily to REA Group minority stockholders.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had $92 million of stock repurchases of outstanding Class A and Class B Common Stock under the Stock Repurchase Programs and dividend payments of $47 million primarily to REA Group minority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Free cash flow is a non-GAAP financial measure. Free cash flow is defined as net cash provided by (used in) operating activities from continuing operations less capital expenditures. Free cash flow excludes cash flows from discontinued operations. Free cash flow may not be comparable to similarly titled measures reported by other companies, since companies and investors may differ as to what items should be included in the calculation of free cash flow.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does not represent the total increase or decrease in the cash balance for the period and should be considered in addition to, not as a substitute for, the net change in cash and cash equivalents as presented in the Company’s consolidated Statements of Cash Flows prepared in accordance with GAAP, which incorporates all cash movements during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free cash flow provides useful information to management and investors about the Company’s liquidity and cash flow trends.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cash provided by operating activities from continuing operations to free cash flow for the three months ended September 30, 2026 and 2025:</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right="2800"/>
        <w:spacing w:after="0" w:line="289"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Free cash flow</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wp:posOffset>
            </wp:positionV>
            <wp:extent cx="1748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33655</wp:posOffset>
            </wp:positionV>
            <wp:extent cx="1748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spacing w:after="0"/>
        <w:tabs>
          <w:tab w:leader="none" w:pos="1040" w:val="left"/>
          <w:tab w:leader="none" w:pos="1420" w:val="left"/>
          <w:tab w:leader="none" w:pos="2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w:t>
        <w:tab/>
        <w:t>$</w:t>
      </w:r>
      <w:r>
        <w:rPr>
          <w:sz w:val="20"/>
          <w:szCs w:val="20"/>
          <w:color w:val="auto"/>
        </w:rPr>
        <w:tab/>
      </w:r>
      <w:r>
        <w:rPr>
          <w:rFonts w:ascii="Times New Roman" w:cs="Times New Roman" w:eastAsia="Times New Roman" w:hAnsi="Times New Roman"/>
          <w:sz w:val="18"/>
          <w:szCs w:val="18"/>
          <w:color w:val="auto"/>
        </w:rPr>
        <w:t>85</w:t>
      </w:r>
    </w:p>
    <w:p>
      <w:pPr>
        <w:spacing w:after="0" w:line="27" w:lineRule="exact"/>
        <w:rPr>
          <w:sz w:val="20"/>
          <w:szCs w:val="20"/>
          <w:color w:val="auto"/>
        </w:rPr>
      </w:pPr>
    </w:p>
    <w:p>
      <w:pPr>
        <w:ind w:left="2420" w:hanging="1528"/>
        <w:spacing w:after="0"/>
        <w:tabs>
          <w:tab w:leader="none" w:pos="2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31" w:lineRule="exact"/>
        <w:rPr>
          <w:sz w:val="20"/>
          <w:szCs w:val="20"/>
          <w:color w:val="auto"/>
        </w:rPr>
      </w:pPr>
    </w:p>
    <w:p>
      <w:pPr>
        <w:spacing w:after="0"/>
        <w:tabs>
          <w:tab w:leader="none" w:pos="960" w:val="left"/>
          <w:tab w:leader="none" w:pos="1420" w:val="left"/>
          <w:tab w:leader="none" w:pos="2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(89)</w:t>
        <w:tab/>
        <w:t>$</w:t>
      </w:r>
      <w:r>
        <w:rPr>
          <w:sz w:val="20"/>
          <w:szCs w:val="20"/>
          <w:color w:val="auto"/>
        </w:rPr>
        <w:tab/>
      </w: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17487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780" w:space="720"/>
            <w:col w:w="2720"/>
          </w:cols>
          <w:pgMar w:left="320" w:top="360" w:right="359" w:bottom="1440" w:gutter="0" w:footer="0" w:header="0"/>
          <w:type w:val="continuous"/>
        </w:sectPr>
      </w:pPr>
    </w:p>
    <w:p>
      <w:pPr>
        <w:spacing w:after="0" w:line="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Free cash flow for the three months ended September 30, 2026 was $(89) million compared to $4 million in the corresponding period of fiscal 2026. Free cash flow decreased primarily driven by lower cash provided by operating activities from continuing operations and higher capital expenditures.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News Corporation Borrowings</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September 30, 2026, News Corporation had (i) borrowings of $2.0 billion, including the current portion, consisting of its outstanding 2021 Senior Notes, 2022 Senior Notes and 2026 Term A Loans, and (ii) $1 billion of undrawn commitments available under the 2026 Revolving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 Group Borrowings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September 30, 2026, REA Group had A$500 million of undrawn commitments available under the 2026 REA Credit Facility. REA Group is a consolidated but non wholly-owned subsidiary of News Corp, and its indebtedness is only guaranteed by REA Group and certain of its subsidiaries and is non-recourse to News Corp.</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September 2026, REA Group terminated its undrawn 2024 REA Credit Facility and entered into the 2026 REA Credit Facility. The 2026 REA Credit Facility provides a three-year A$500 million revolving loan facility maturing on September 30, 2029.</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Borrowings under the 2026 REA Credit Facility accrue interest at a floating rate equal to the Australian BBSY plus a margin of between 1.05% and 1.95%, depending on REA Group’s net leverage ratio. The 2026 REA Credit Facility carries a commitment fee equal to 40% of the applicable margin on any undrawn balance.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HarperCollins Equipment Lease</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October 2025, HarperCollins entered into a finance leasing arrangement for up to $120 million of equipment for a new warehouse (the “Equipment Lease”). Interest accrues on amounts drawn under the Equipment Lease based on the Term SOFR plus a margin of 1.475%. The Equipment Lease may be drawn on until June 30, 2028, after which lease payments commence for a term of 7 years. The lease obligations are secured by the acquired equipment, and ownership of the equipment acquired under the Equipment Lease will transfer to HarperCollins at the end of the lease term. The Company has recognized finance lease right-of-use assets on the Company’s Balance Sheet within Property, plant and equipment, net reflecting equipment received as of September 30, 2026.</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of the Company’s borrowings contain customary representations, covenants and events of default. If any of the events of default occur and are not cured within applicable grace periods or waived, any unpaid amounts under the applicable debt agreement may be declared immediately due and payable. The Company was in compliance with all applicable covenants at September 30, 2026.</w:t>
      </w:r>
    </w:p>
    <w:p>
      <w:pPr>
        <w:spacing w:after="0" w:line="17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See Note 5—Borrowings in the accompanying Consolidated Financial Statements and the Company’s 2026 Form 10-K for further details regarding the Company’s outstanding debt, including additional information about interest rates, amortization (if any) and maturities related to such debt arrangements.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certain firm contractual arrangements to make future payments. These firm commitments secure the current and future rights to various assets and services to be used in the normal course of operations. The Company’s commitments as of September 30, 2026 have not changed significantly from the disclosures included in the 2026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routinely is involved in various legal proceedings, claims and governmental inspections or investigations, including those discussed in Note 9 to the Consolidated Financial Statements. The outcome of these matters and claims is subject to significant uncertainty, and the Company often cannot predict what the eventual outcome of pending matters will be or the timing of the ultimate resolution of these matters. Fees, expenses, fines, penalties, judgments or settlement costs which might be incurred by the Company in connection with the various proceedings could adversely affect its results of operations and financial condition.</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establishes an accrued liability for legal claims when it determines that a loss is probable and the amount of the loss can be reasonably estimated. Once established, accruals are adjusted from time to time, as appropriate, in light of additional information. The amount of any loss ultimately incurred in relation to matters for which an accrual has been established may be higher or lower than the amounts accrued for such matters. Legal fees associated with litigation and similar proceedings are expensed as incurred. The Company recognizes gain contingencies when the gain becomes realized or realizable. See Note 9—Commitments and Contingencies in the accompanying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Company’s assessment of its sensitivity to market risk since its presentation set forth in Item 7A, “Quantitative and Qualitative Disclosures About Market Risk,” in the Company’s 2026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Based on such evaluation, the Company’s Chief Executive Officer and Chief Financial Officer have concluded that, as of the end of such period, the Company’s disclosure controls and procedures were effective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29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Internal Control Over Financial Reporting</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such term is defined in Rules 13a-15(f) and 15d-15(f) under the Exchange Act) during the Company’s first quarter of fiscal 2027 that has materially affected, or is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9—Commitments and Contingencies in the accompanying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the 2026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announced a stock repurchase program authorizing the Company to purchase up to $1 billion in the aggregate of its outstanding Class A Common Stock and Class B Common Stock (the “2021 Repurchase Program”), which was completed during fiscal 2026. On July 15, 2025, the Company announced a new stock repurchase program authorizing the Company to purchase up to $1 billion in the aggregate of the Company’s outstanding Class A Common Stock and Class B Common Stock (the “2025 Repurchase Program” and, together with the 2021 Repurchase Program, the “Stock Repurchase Programs”), which was in addition to the remaining authorized amount under the 2021 Repurchase Program at that time.</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manner, timing, number and share price of any repurchases will be determined by the Company at its discretion and will depend upon such factors as the market price of the stock, general market conditions, applicable securities laws, alternative investment opportunities and other factors. The 2025 Repurchase Program has no time limit and may be modified, suspended or discontinued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monthly share repurchases during the three months ended September 30, 2026:</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8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r>
              <w:rPr>
                <w:rFonts w:ascii="Times New Roman" w:cs="Times New Roman" w:eastAsia="Times New Roman" w:hAnsi="Times New Roman"/>
                <w:sz w:val="18"/>
                <w:szCs w:val="18"/>
                <w:b w:val="1"/>
                <w:bCs w:val="1"/>
                <w:color w:val="auto"/>
                <w:vertAlign w:val="superscript"/>
              </w:rPr>
              <w:t>(b)</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060" w:type="dxa"/>
            <w:vAlign w:val="bottom"/>
            <w:gridSpan w:val="4"/>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7"/>
                <w:szCs w:val="17"/>
                <w:b w:val="1"/>
                <w:bCs w:val="1"/>
                <w:color w:val="auto"/>
                <w:vertAlign w:val="superscript"/>
              </w:rPr>
              <w:t>(a)</w:t>
            </w:r>
          </w:p>
        </w:tc>
        <w:tc>
          <w:tcPr>
            <w:tcW w:w="2080" w:type="dxa"/>
            <w:vAlign w:val="bottom"/>
            <w:gridSpan w:val="6"/>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20" w:type="dxa"/>
            <w:vAlign w:val="bottom"/>
          </w:tcPr>
          <w:p>
            <w:pPr>
              <w:spacing w:after="0"/>
              <w:rPr>
                <w:sz w:val="12"/>
                <w:szCs w:val="12"/>
                <w:color w:val="auto"/>
              </w:rPr>
            </w:pPr>
          </w:p>
        </w:tc>
        <w:tc>
          <w:tcPr>
            <w:tcW w:w="162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Publicly Announced</w:t>
            </w:r>
          </w:p>
        </w:tc>
        <w:tc>
          <w:tcPr>
            <w:tcW w:w="1840" w:type="dxa"/>
            <w:vAlign w:val="bottom"/>
            <w:gridSpan w:val="2"/>
            <w:vMerge w:val="restart"/>
          </w:tcPr>
          <w:p>
            <w:pPr>
              <w:ind w:left="120"/>
              <w:spacing w:after="0" w:line="95" w:lineRule="exact"/>
              <w:rPr>
                <w:sz w:val="20"/>
                <w:szCs w:val="20"/>
                <w:color w:val="auto"/>
              </w:rPr>
            </w:pPr>
            <w:r>
              <w:rPr>
                <w:rFonts w:ascii="Times New Roman" w:cs="Times New Roman" w:eastAsia="Times New Roman" w:hAnsi="Times New Roman"/>
                <w:sz w:val="10"/>
                <w:szCs w:val="10"/>
                <w:b w:val="1"/>
                <w:bCs w:val="1"/>
                <w:color w:val="auto"/>
              </w:rPr>
              <w:t>Under Publicly Announced</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line="20" w:lineRule="exact"/>
              <w:rPr>
                <w:sz w:val="1"/>
                <w:szCs w:val="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line="20" w:lineRule="exact"/>
              <w:rPr>
                <w:sz w:val="1"/>
                <w:szCs w:val="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520" w:type="dxa"/>
            <w:vAlign w:val="bottom"/>
            <w:vMerge w:val="continue"/>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18"/>
                <w:szCs w:val="18"/>
                <w:b w:val="1"/>
                <w:bCs w:val="1"/>
                <w:color w:val="auto"/>
                <w:vertAlign w:val="superscript"/>
              </w:rPr>
              <w:t>(b)</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6"/>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29, 2026 - July 26, 2026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2026 - August 30, 2026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31, 2026 - September 27, 2026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00" w:right="340" w:hanging="492"/>
        <w:spacing w:after="0" w:line="282" w:lineRule="auto"/>
        <w:tabs>
          <w:tab w:leader="none" w:pos="35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make any repurchases of Common Stock during the applicable period other than in connection with the publicly announced 2025 Repurchase Program described above.</w:t>
      </w:r>
    </w:p>
    <w:p>
      <w:pPr>
        <w:spacing w:after="0" w:line="1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taxes, fees, commissions or other costs associated with the repurchases.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4" w:lineRule="exact"/>
        <w:rPr>
          <w:sz w:val="20"/>
          <w:szCs w:val="20"/>
          <w:color w:val="auto"/>
        </w:rPr>
      </w:pPr>
    </w:p>
    <w:p>
      <w:pPr>
        <w:ind w:left="800" w:right="559"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Chief Executive Officer Certification required by Rules 13a-14 and 15d-14 under the Securities Exchange Act of 1934, as amended.*</w:t>
      </w:r>
    </w:p>
    <w:p>
      <w:pPr>
        <w:spacing w:after="0" w:line="64" w:lineRule="exact"/>
        <w:rPr>
          <w:sz w:val="20"/>
          <w:szCs w:val="20"/>
          <w:color w:val="auto"/>
        </w:rPr>
      </w:pPr>
    </w:p>
    <w:p>
      <w:pPr>
        <w:ind w:left="800" w:right="619"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Chief Financial Officer Certification required by Rules 13a-14 and 15d-14 under the Securities Exchange Act of 1934, as amended.*</w:t>
      </w:r>
    </w:p>
    <w:p>
      <w:pPr>
        <w:spacing w:after="0" w:line="64" w:lineRule="exact"/>
        <w:rPr>
          <w:sz w:val="20"/>
          <w:szCs w:val="20"/>
          <w:color w:val="auto"/>
        </w:rPr>
      </w:pPr>
    </w:p>
    <w:p>
      <w:pPr>
        <w:ind w:left="800" w:right="999"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and Chief Financial Officer pursuant to 18 U.S.C. Section 1350, as adopted pursuant to Section 906 of the Sarbanes-Oxley Act of 2002.**</w:t>
      </w:r>
    </w:p>
    <w:p>
      <w:pPr>
        <w:spacing w:after="0" w:line="77" w:lineRule="exact"/>
        <w:rPr>
          <w:sz w:val="20"/>
          <w:szCs w:val="20"/>
          <w:color w:val="auto"/>
        </w:rPr>
      </w:pPr>
    </w:p>
    <w:p>
      <w:pPr>
        <w:ind w:left="800" w:right="779" w:hanging="774"/>
        <w:spacing w:after="0" w:line="256"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 September 30, 2026 formatted in Inline XBRL: (i) Consolidated Statements of Operations for the three months ended September 30, 2026 and 2025 (unaudited); (ii) Consolidated Statements of Comprehensive Income (Loss) for the three months ended September 30, 2026 and 2025 (unaudited); (iii) Consolidated Balance Sheets as of September 30, 2026 (unaudited) and June 30, 2026 (audited); (iv) Consolidated Statements of Cash Flows for the three months ended September 30, 2026 and 2025 (unaudited); and (v) Notes to the Unaudited Consolidated Financial Statements.*</w:t>
      </w:r>
    </w:p>
    <w:p>
      <w:pPr>
        <w:spacing w:after="0" w:line="79" w:lineRule="exact"/>
        <w:rPr>
          <w:sz w:val="20"/>
          <w:szCs w:val="20"/>
          <w:color w:val="auto"/>
        </w:rPr>
      </w:pPr>
    </w:p>
    <w:p>
      <w:pPr>
        <w:ind w:left="800" w:right="919" w:hanging="774"/>
        <w:spacing w:after="0" w:line="282" w:lineRule="auto"/>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News Corporation’s Quarterly Report on Form 10-Q for the quarter ended September 30, 2026, formatted in Inline XBRL (included as Exhibit 101).*</w:t>
      </w:r>
    </w:p>
    <w:p>
      <w:pPr>
        <w:spacing w:after="0" w:line="11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herewith.</w:t>
      </w:r>
    </w:p>
    <w:p>
      <w:pPr>
        <w:spacing w:after="0" w:line="5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NEWS CORPORATION</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(Registrant)</w:t>
      </w:r>
    </w:p>
    <w:p>
      <w:pPr>
        <w:spacing w:after="0" w:line="261" w:lineRule="exact"/>
        <w:rPr>
          <w:sz w:val="20"/>
          <w:szCs w:val="20"/>
          <w:color w:val="auto"/>
        </w:rPr>
      </w:pPr>
    </w:p>
    <w:p>
      <w:pPr>
        <w:ind w:left="6000"/>
        <w:spacing w:after="0"/>
        <w:tabs>
          <w:tab w:leader="none" w:pos="6440" w:val="left"/>
        </w:tabs>
        <w:rPr>
          <w:sz w:val="20"/>
          <w:szCs w:val="20"/>
          <w:color w:val="auto"/>
        </w:rPr>
      </w:pPr>
      <w:r>
        <w:rPr>
          <w:rFonts w:ascii="Times New Roman" w:cs="Times New Roman" w:eastAsia="Times New Roman" w:hAnsi="Times New Roman"/>
          <w:sz w:val="18"/>
          <w:szCs w:val="18"/>
          <w:color w:val="auto"/>
        </w:rPr>
        <w:t>By:</w:t>
        <w:tab/>
        <w:t>/s/ Lavanya Chandrashekar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34290</wp:posOffset>
            </wp:positionV>
            <wp:extent cx="30518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Lavanya Chandrashekar</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60"/>
          </w:cols>
          <w:pgMar w:left="320" w:top="360" w:right="8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Required by Rules 13a-14 and 15d-14 under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Thomson, certify that:</w:t>
      </w:r>
    </w:p>
    <w:p>
      <w:pPr>
        <w:spacing w:after="0" w:line="11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News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5, 2026</w:t>
      </w:r>
    </w:p>
    <w:p>
      <w:pPr>
        <w:spacing w:after="0" w:line="306" w:lineRule="exact"/>
        <w:rPr>
          <w:sz w:val="20"/>
          <w:szCs w:val="20"/>
          <w:color w:val="auto"/>
        </w:rPr>
      </w:pPr>
    </w:p>
    <w:p>
      <w:pPr>
        <w:ind w:left="594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Robert J.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34290</wp:posOffset>
            </wp:positionV>
            <wp:extent cx="30600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Robert J. Thomson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ectPr>
          <w:pgSz w:w="11900" w:h="16838" w:orient="portrait"/>
          <w:cols w:equalWidth="0" w:num="1">
            <w:col w:w="11240"/>
          </w:cols>
          <w:pgMar w:left="320" w:top="11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Required by Rules 13a-14 and 15d-14 under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Lavanya Chandrashekar, certify that:</w:t>
      </w:r>
    </w:p>
    <w:p>
      <w:pPr>
        <w:spacing w:after="0" w:line="117"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News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5, 2026</w:t>
      </w:r>
    </w:p>
    <w:p>
      <w:pPr>
        <w:spacing w:after="0" w:line="306" w:lineRule="exact"/>
        <w:rPr>
          <w:sz w:val="20"/>
          <w:szCs w:val="20"/>
          <w:color w:val="auto"/>
        </w:rPr>
      </w:pPr>
    </w:p>
    <w:p>
      <w:pPr>
        <w:ind w:left="594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Lavanya Chandrashekar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34290</wp:posOffset>
            </wp:positionV>
            <wp:extent cx="30600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Lavanya Chandrashekar</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News Corporation on Form 10-Q for the fiscal quarter ended September 30, 2026, as filed with the Securities and Exchange Commission on the date hereof (the “Report”), we, the undersigned officers of News Corporation, certify, pursuant to 18 U.S.C. §1350, as adopted pursuant to §906 of the Sarbanes-Oxley Act of 2002, that, to the best of our knowledge:</w:t>
      </w:r>
    </w:p>
    <w:p>
      <w:pPr>
        <w:spacing w:after="0" w:line="176"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20" w:right="160" w:hanging="12"/>
        <w:spacing w:after="0" w:line="438" w:lineRule="auto"/>
        <w:tabs>
          <w:tab w:leader="none" w:pos="2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News Corporation. November 5, 2026</w:t>
      </w:r>
    </w:p>
    <w:p>
      <w:pPr>
        <w:spacing w:after="0" w:line="109" w:lineRule="exact"/>
        <w:rPr>
          <w:sz w:val="20"/>
          <w:szCs w:val="20"/>
          <w:color w:val="auto"/>
        </w:rPr>
      </w:pPr>
    </w:p>
    <w:p>
      <w:pPr>
        <w:ind w:left="594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Robert J.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34290</wp:posOffset>
            </wp:positionV>
            <wp:extent cx="30600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Robert J. Thomson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15" w:lineRule="exact"/>
        <w:rPr>
          <w:sz w:val="20"/>
          <w:szCs w:val="20"/>
          <w:color w:val="auto"/>
        </w:rPr>
      </w:pPr>
    </w:p>
    <w:p>
      <w:pPr>
        <w:ind w:left="594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Lavanya Chandrashekar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34290</wp:posOffset>
            </wp:positionV>
            <wp:extent cx="3060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Lavanya Chandrashekar</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decimal"/>
      <w:start w:val="102"/>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
      <w:numFmt w:val="bullet"/>
      <w:start w:val="1"/>
    </w:lvl>
    <w:lvl w:ilvl="1">
      <w:lvlJc w:val="left"/>
      <w:lvlText w:val="%2"/>
      <w:numFmt w:val="decimal"/>
      <w:start w:val="104"/>
    </w:lvl>
  </w:abstractNum>
  <w:abstractNum w:abstractNumId="20">
    <w:nsid w:val="2443A858"/>
    <w:multiLevelType w:val="hybridMultilevel"/>
    <w:lvl w:ilvl="0">
      <w:lvlJc w:val="left"/>
      <w:lvlText w:val="**"/>
      <w:numFmt w:val="bullet"/>
      <w:start w:val="1"/>
    </w:lvl>
    <w:lvl w:ilvl="1">
      <w:lvlJc w:val="left"/>
      <w:lvlText w:val="%2"/>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2026-11-05T06:14:40Z</dcterms:created>
  <dcterms:modified xsi:type="dcterms:W3CDTF">2026-11-05T06:14:40Z</dcterms:modified>
</cp:coreProperties>
</file>